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DB4" w:rsidRDefault="005C2E72">
      <w:pPr>
        <w:pStyle w:val="Heading1"/>
        <w:spacing w:before="220" w:after="120"/>
        <w:rPr>
          <w:color w:val="auto"/>
        </w:rPr>
      </w:pPr>
      <w:r>
        <w:rPr>
          <w:b/>
          <w:bCs/>
          <w:color w:val="auto"/>
          <w:sz w:val="24"/>
          <w:szCs w:val="24"/>
        </w:rPr>
        <w:t>Appendix A. Derivation and energy consistency</w:t>
      </w:r>
    </w:p>
    <w:p w:rsidR="00B7023A" w:rsidRDefault="005C2E72" w:rsidP="00B7023A">
      <w:pPr>
        <w:spacing w:after="120" w:line="300" w:lineRule="auto"/>
        <w:jc w:val="both"/>
      </w:pPr>
      <w:r>
        <w:t>The quasi-1D equations (1)–(3) are obtained by integrating the compressible Euler equations over the free cross-section A(</w:t>
      </w:r>
      <w:proofErr w:type="spellStart"/>
      <w:r>
        <w:t>x,t</w:t>
      </w:r>
      <w:proofErr w:type="spellEnd"/>
      <w:r>
        <w:t>) and applying the Leibniz rule to the time- and space-varying limits, which produces the geometric source term p ∂A/∂x in the momentum equation and the moving-boundary work −p ∂A/∂t in the energy equation. For a rigid train translating at constant speed the area field satisfies A(</w:t>
      </w:r>
      <w:proofErr w:type="spellStart"/>
      <w:r>
        <w:t>x</w:t>
      </w:r>
      <w:proofErr w:type="gramStart"/>
      <w:r>
        <w:t>,t</w:t>
      </w:r>
      <w:proofErr w:type="spellEnd"/>
      <w:proofErr w:type="gramEnd"/>
      <w:r>
        <w:t xml:space="preserve">) = A(x − </w:t>
      </w:r>
      <w:proofErr w:type="spellStart"/>
      <w:r>
        <w:t>Vt</w:t>
      </w:r>
      <w:proofErr w:type="spellEnd"/>
      <w:r>
        <w:t xml:space="preserve">), hence ∂A/∂t = −V ∂A/∂x, and the two geometric terms are consistent. The skin-friction force </w:t>
      </w:r>
      <w:proofErr w:type="spellStart"/>
      <w:r>
        <w:t>f</w:t>
      </w:r>
      <w:r>
        <w:rPr>
          <w:vertAlign w:val="subscript"/>
        </w:rPr>
        <w:t>tr</w:t>
      </w:r>
      <w:proofErr w:type="spellEnd"/>
      <w:r>
        <w:t xml:space="preserve"> and its rate of working </w:t>
      </w:r>
      <w:proofErr w:type="spellStart"/>
      <w:r>
        <w:t>f</w:t>
      </w:r>
      <w:r>
        <w:rPr>
          <w:vertAlign w:val="subscript"/>
        </w:rPr>
        <w:t>tr</w:t>
      </w:r>
      <w:r>
        <w:t>·V</w:t>
      </w:r>
      <w:proofErr w:type="spellEnd"/>
      <w:r>
        <w:t xml:space="preserve"> are the only train-related exchange terms; the wall friction </w:t>
      </w:r>
      <w:proofErr w:type="spellStart"/>
      <w:r>
        <w:t>f</w:t>
      </w:r>
      <w:r>
        <w:rPr>
          <w:vertAlign w:val="subscript"/>
        </w:rPr>
        <w:t>t</w:t>
      </w:r>
      <w:proofErr w:type="spellEnd"/>
      <w:r>
        <w:t xml:space="preserve"> removes momentum, its associated dissipation remaining internal to the gas, so that under the weak-compressibility conditions considered (</w:t>
      </w:r>
      <w:proofErr w:type="spellStart"/>
      <w:r>
        <w:t>Δp</w:t>
      </w:r>
      <w:proofErr w:type="spellEnd"/>
      <w:r>
        <w:t xml:space="preserve">/p₀ ~ 10⁻²) the global budget of a closed test case is conserved to within the truncation error of the scheme. This was verified numerically on a closed 1 km duct with reflecting ends and no train, </w:t>
      </w:r>
      <w:proofErr w:type="spellStart"/>
      <w:r>
        <w:t>initialised</w:t>
      </w:r>
      <w:proofErr w:type="spellEnd"/>
      <w:r>
        <w:t xml:space="preserve"> with a Gaussian pressure pulse of amplitude 1% of p₀ and run for three acoustic round trips: the mass drift is of order 10⁻¹⁰ per cent, and the total-energy drift is 6.2×10⁻⁷, 1.6×10⁻⁷ and 4.1×10⁻⁸ per cent at </w:t>
      </w:r>
      <w:proofErr w:type="spellStart"/>
      <w:r>
        <w:t>Δx</w:t>
      </w:r>
      <w:proofErr w:type="spellEnd"/>
      <w:r>
        <w:t xml:space="preserve"> = 2, 1 and 0.5 m respectively, falling by approximately a factor of four per grid halving and thus consistent with the formal second order of the scheme. In the incompressible, quasi-steady limit the formulation reduces to the annular mass-and-momentum balance of earlier 1D theory (Woods &amp; Pope, 1981); the present model differs only in retaining the full unsteady compressible terms and in resolving, rather than treating as discontinuities, the nose and tail area changes — the resolution choice whose grid </w:t>
      </w:r>
      <w:proofErr w:type="spellStart"/>
      <w:r>
        <w:t>behaviour</w:t>
      </w:r>
      <w:proofErr w:type="spellEnd"/>
      <w:r>
        <w:t xml:space="preserve"> is quantified in Section 3.4.</w:t>
      </w:r>
      <w:bookmarkStart w:id="0" w:name="_GoBack"/>
      <w:bookmarkEnd w:id="0"/>
    </w:p>
    <w:p w:rsidR="00772DB4" w:rsidRDefault="00772DB4">
      <w:pPr>
        <w:spacing w:after="60" w:line="260" w:lineRule="auto"/>
        <w:ind w:left="420" w:hanging="420"/>
        <w:jc w:val="both"/>
      </w:pPr>
    </w:p>
    <w:sectPr w:rsidR="00772DB4">
      <w:footerReference w:type="default" r:id="rId6"/>
      <w:pgSz w:w="11906" w:h="16838"/>
      <w:pgMar w:top="1134" w:right="1418" w:bottom="1134" w:left="1418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2E72" w:rsidRDefault="005C2E72">
      <w:r>
        <w:separator/>
      </w:r>
    </w:p>
  </w:endnote>
  <w:endnote w:type="continuationSeparator" w:id="0">
    <w:p w:rsidR="005C2E72" w:rsidRDefault="005C2E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  <w:font w:name="DengXian">
    <w:altName w:val="等线"/>
    <w:panose1 w:val="02010600030101010101"/>
    <w:charset w:val="86"/>
    <w:family w:val="roman"/>
    <w:notTrueType/>
    <w:pitch w:val="default"/>
  </w:font>
  <w:font w:name="Aptos">
    <w:altName w:val="Times New Roman"/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2DB4" w:rsidRDefault="005C2E72"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B7023A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2E72" w:rsidRDefault="005C2E72">
      <w:r>
        <w:separator/>
      </w:r>
    </w:p>
  </w:footnote>
  <w:footnote w:type="continuationSeparator" w:id="0">
    <w:p w:rsidR="005C2E72" w:rsidRDefault="005C2E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48E"/>
    <w:rsid w:val="00053964"/>
    <w:rsid w:val="000937B3"/>
    <w:rsid w:val="00214ADC"/>
    <w:rsid w:val="00377C3E"/>
    <w:rsid w:val="004F1336"/>
    <w:rsid w:val="005C2E72"/>
    <w:rsid w:val="00710F9B"/>
    <w:rsid w:val="00746E28"/>
    <w:rsid w:val="00772DB4"/>
    <w:rsid w:val="00780C5E"/>
    <w:rsid w:val="00AF05CA"/>
    <w:rsid w:val="00B30702"/>
    <w:rsid w:val="00B7023A"/>
    <w:rsid w:val="00C90E42"/>
    <w:rsid w:val="00DC1FD6"/>
    <w:rsid w:val="00E4748E"/>
    <w:rsid w:val="00E97DD3"/>
    <w:rsid w:val="00F46D61"/>
    <w:rsid w:val="00FB0C62"/>
    <w:rsid w:val="218E063C"/>
    <w:rsid w:val="254C6B19"/>
    <w:rsid w:val="2ACC54C4"/>
    <w:rsid w:val="4CAE2606"/>
    <w:rsid w:val="5D033DC0"/>
    <w:rsid w:val="778B45A3"/>
    <w:rsid w:val="7A066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E6D473"/>
  <w15:docId w15:val="{C80A60E5-03F4-4F30-9A81-38D2AF6ED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  <w:lang w:val="en-US" w:eastAsia="en-US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  <w:lang w:val="en-US" w:eastAsia="en-US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  <w:lang w:val="en-US" w:eastAsia="en-US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  <w:lang w:val="en-US" w:eastAsia="en-US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  <w:lang w:val="en-US" w:eastAsia="en-US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link w:val="EndnoteTextChar"/>
    <w:uiPriority w:val="99"/>
    <w:semiHidden/>
    <w:unhideWhenUsed/>
    <w:rPr>
      <w:lang w:val="en-US" w:eastAsia="en-US"/>
    </w:rPr>
  </w:style>
  <w:style w:type="paragraph" w:styleId="FootnoteText">
    <w:name w:val="footnote text"/>
    <w:link w:val="FootnoteTextChar"/>
    <w:uiPriority w:val="99"/>
    <w:semiHidden/>
    <w:unhideWhenUsed/>
    <w:qFormat/>
    <w:rPr>
      <w:lang w:val="en-US" w:eastAsia="en-US"/>
    </w:rPr>
  </w:style>
  <w:style w:type="paragraph" w:styleId="Title">
    <w:name w:val="Title"/>
    <w:uiPriority w:val="10"/>
    <w:qFormat/>
    <w:rPr>
      <w:sz w:val="56"/>
      <w:szCs w:val="56"/>
      <w:lang w:val="en-US" w:eastAsia="en-US"/>
    </w:rPr>
  </w:style>
  <w:style w:type="character" w:styleId="EndnoteReference">
    <w:name w:val="endnote reference"/>
    <w:uiPriority w:val="99"/>
    <w:semiHidden/>
    <w:unhideWhenUsed/>
    <w:qFormat/>
    <w:rPr>
      <w:vertAlign w:val="superscript"/>
    </w:rPr>
  </w:style>
  <w:style w:type="character" w:styleId="Hyperlink">
    <w:name w:val="Hyperlink"/>
    <w:uiPriority w:val="99"/>
    <w:unhideWhenUsed/>
    <w:qFormat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customStyle="1" w:styleId="Strong1">
    <w:name w:val="Strong1"/>
    <w:qFormat/>
    <w:rPr>
      <w:b/>
      <w:bCs/>
      <w:lang w:val="en-US" w:eastAsia="en-US"/>
    </w:rPr>
  </w:style>
  <w:style w:type="paragraph" w:styleId="ListParagraph">
    <w:name w:val="List Paragraph"/>
    <w:qFormat/>
    <w:rPr>
      <w:lang w:val="en-US" w:eastAsia="en-US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264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Anonymized manuscript</dc:title>
  <dc:creator>Anonymous</dc:creator>
  <cp:lastModifiedBy>Eswari S.</cp:lastModifiedBy>
  <cp:revision>11</cp:revision>
  <dcterms:created xsi:type="dcterms:W3CDTF">2026-09-02T02:12:00Z</dcterms:created>
  <dcterms:modified xsi:type="dcterms:W3CDTF">2026-09-23T11:17:00Z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eyJoZGlkIjoiYzJiOTU2Yjk2Y2NjMzUxZTZkMmRiMDMyNTVlY2YwODkiLCJ1c2VySWQiOiIyMzgxNjg2MjIifQ==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425E6CE84162457482361AE3B2D5F11E_12</vt:lpwstr>
  </property>
</Properties>
</file>