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b/>
          <w:bCs/>
          <w:sz w:val="24"/>
          <w:szCs w:val="24"/>
          <w:lang w:val="en-US"/>
        </w:rPr>
      </w:pPr>
      <w:bookmarkStart w:id="0" w:name="_GoBack"/>
      <w:r>
        <w:rPr>
          <w:rFonts w:cs="Times New Roman" w:ascii="Times New Roman" w:hAnsi="Times New Roman"/>
          <w:b/>
          <w:bCs/>
          <w:sz w:val="24"/>
          <w:szCs w:val="24"/>
          <w:lang w:val="en-US"/>
        </w:rPr>
        <w:t>ANNEX</w:t>
      </w:r>
      <w:bookmarkEnd w:id="0"/>
      <w:r>
        <w:rPr>
          <w:rFonts w:cs="Times New Roman" w:ascii="Times New Roman" w:hAnsi="Times New Roman"/>
          <w:b/>
          <w:bCs/>
          <w:sz w:val="24"/>
          <w:szCs w:val="24"/>
          <w:lang w:val="en-US"/>
        </w:rPr>
        <w:t xml:space="preserve"> 1: Examples of different auditor attitudes toward COVID risks</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Section 4.2 presents the results achieved in our study and, specifically, Table IV shows the values for the 5 attitudes that relate the auditor's attitude toward a COVID risk, depending on whether such risk appears reported in the company's annual report or not. Below, we show an example considered representative for each attitude, with the objective of providing greater clarity and transparency. For the "Potentially omissive" attitude, no example is shown here, as the two unique cases identified are already presented in section 4.2 due to their relevance.</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a) Aligned by COVID risk</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When the information prepared by the company identifies a COVID-19-related risk or negative aspect for the company's equity produced by COVID, and there is a corresponding Key Audit Matter (KAM) in the Audit Report. This attitude is classified as "Aligned by COVID risk," as both company and auditor acknowledge the presence and impact of this risk.</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Selected example: Accounting for lease income at Inditex</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The audit firm Deloitte, in its Audit Report for the 2020 fiscal year for the consolidated accounts of "Industria de Diseño Textil, S.A. (Inditex)," included a KAM (page 2 of said Report) titled "</w:t>
      </w:r>
      <w:r>
        <w:rPr>
          <w:rFonts w:cs="Times New Roman" w:ascii="Times New Roman" w:hAnsi="Times New Roman"/>
          <w:i/>
          <w:iCs/>
          <w:sz w:val="24"/>
          <w:szCs w:val="24"/>
          <w:lang w:val="en-US"/>
        </w:rPr>
        <w:t>Lease valuations</w:t>
      </w:r>
      <w:r>
        <w:rPr>
          <w:rFonts w:cs="Times New Roman" w:ascii="Times New Roman" w:hAnsi="Times New Roman"/>
          <w:sz w:val="24"/>
          <w:szCs w:val="24"/>
          <w:lang w:val="en-US"/>
        </w:rPr>
        <w:t>" where (second paragraph of the KAM description) it stated that the emergence of the COVID-19 pandemic entails for the group's leases an increase in the "</w:t>
      </w:r>
      <w:r>
        <w:rPr>
          <w:rFonts w:cs="Times New Roman" w:ascii="Times New Roman" w:hAnsi="Times New Roman"/>
          <w:i/>
          <w:iCs/>
          <w:sz w:val="24"/>
          <w:szCs w:val="24"/>
          <w:lang w:val="en-US"/>
        </w:rPr>
        <w:t>volume of renegotiations and, consequently, the risk of misstatements in the accounting of agreed modifications</w:t>
      </w:r>
      <w:r>
        <w:rPr>
          <w:rFonts w:cs="Times New Roman" w:ascii="Times New Roman" w:hAnsi="Times New Roman"/>
          <w:sz w:val="24"/>
          <w:szCs w:val="24"/>
          <w:lang w:val="en-US"/>
        </w:rPr>
        <w:t>." Among the procedures carried out by the audit firm in response to this key matter, the fourth item states: "</w:t>
      </w:r>
      <w:r>
        <w:rPr>
          <w:rFonts w:cs="Times New Roman" w:ascii="Times New Roman" w:hAnsi="Times New Roman"/>
          <w:i/>
          <w:iCs/>
          <w:sz w:val="24"/>
          <w:szCs w:val="24"/>
          <w:lang w:val="en-US"/>
        </w:rPr>
        <w:t>for a representative sample of rent improvements obtained as a consequence of renegotiations associated with the COVID-19 pandemic, verification of correct accounting in accordance with applicable regulations</w:t>
      </w:r>
      <w:r>
        <w:rPr>
          <w:rFonts w:cs="Times New Roman" w:ascii="Times New Roman" w:hAnsi="Times New Roman"/>
          <w:sz w:val="24"/>
          <w:szCs w:val="24"/>
          <w:lang w:val="en-US"/>
        </w:rPr>
        <w: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This risk that COVID-19 represents for correct accounting is consistent with the information provided by the Company, as in the Consolidated Annual Accounts for fiscal year 2020, on page 37, it reports that there have been significant renegotiations regarding leases, modifications that "</w:t>
      </w:r>
      <w:r>
        <w:rPr>
          <w:rFonts w:cs="Times New Roman" w:ascii="Times New Roman" w:hAnsi="Times New Roman"/>
          <w:i/>
          <w:iCs/>
          <w:sz w:val="24"/>
          <w:szCs w:val="24"/>
          <w:lang w:val="en-US"/>
        </w:rPr>
        <w:t>add an additional variability factor to the group's results</w:t>
      </w:r>
      <w:r>
        <w:rPr>
          <w:rFonts w:cs="Times New Roman" w:ascii="Times New Roman" w:hAnsi="Times New Roman"/>
          <w:sz w:val="24"/>
          <w:szCs w:val="24"/>
          <w:lang w:val="en-US"/>
        </w:rPr>
        <w:t>," reporting and quantifying the effect that COVID-19 has on rent improvements (in application of the IFRS 16 modification), which represents an entry in the Profit and Loss Statement of €317 million.</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b) Conservative</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When a KAM regarding COVID-19 is included in the Audit Report but the information prepared by the company does not identify any information concerning this KAM that represents a COVID-19-related risk or negative aspect for the company's equity. This attitude is classified as "Conservative" as the auditor is being conservative/prudent in flagging the presence of such a risk, but the company does not acknowledge it.</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Selected example: Recoverability of deferred tax assets at Caixabank</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The audit firm PwC, in its Consolidated Audit Report for the 2020 fiscal year for "Caixabank S.A," included a KAM (page 4 of said Report) titled "</w:t>
      </w:r>
      <w:r>
        <w:rPr>
          <w:rFonts w:cs="Times New Roman" w:ascii="Times New Roman" w:hAnsi="Times New Roman"/>
          <w:i/>
          <w:iCs/>
          <w:sz w:val="24"/>
          <w:szCs w:val="24"/>
          <w:lang w:val="en-US"/>
        </w:rPr>
        <w:t>Recoverability of deferred tax assets</w:t>
      </w:r>
      <w:r>
        <w:rPr>
          <w:rFonts w:cs="Times New Roman" w:ascii="Times New Roman" w:hAnsi="Times New Roman"/>
          <w:sz w:val="24"/>
          <w:szCs w:val="24"/>
          <w:lang w:val="en-US"/>
        </w:rPr>
        <w:t>" where (third paragraph of the KAM description) indicates how the impact of COVID-19 had to be considered in the group's financial projections and business plans. Among the tests performed by the firm for this KAM, the second item states "</w:t>
      </w:r>
      <w:r>
        <w:rPr>
          <w:rFonts w:cs="Times New Roman" w:ascii="Times New Roman" w:hAnsi="Times New Roman"/>
          <w:i/>
          <w:iCs/>
          <w:sz w:val="24"/>
          <w:szCs w:val="24"/>
          <w:lang w:val="en-US"/>
        </w:rPr>
        <w:t>Analysis of economic and financial assumptions assumed in estimates for calculating temporary differences, to evaluate that they are complete, adequate and usable within established timeframes, with special attention to the impact of COVID-19</w:t>
      </w:r>
      <w:r>
        <w:rPr>
          <w:rFonts w:cs="Times New Roman" w:ascii="Times New Roman" w:hAnsi="Times New Roman"/>
          <w:sz w:val="24"/>
          <w:szCs w:val="24"/>
          <w:lang w:val="en-US"/>
        </w:rPr>
        <w:t>."</w:t>
      </w:r>
    </w:p>
    <w:p>
      <w:pPr>
        <w:pStyle w:val="Normal"/>
        <w:spacing w:lineRule="auto" w:line="240" w:before="0" w:after="0"/>
        <w:ind w:firstLine="360"/>
        <w:jc w:val="both"/>
        <w:rPr>
          <w:rFonts w:ascii="Times New Roman" w:hAnsi="Times New Roman" w:cs="Times New Roman"/>
          <w:sz w:val="24"/>
          <w:szCs w:val="24"/>
          <w:lang w:val="en-US"/>
        </w:rPr>
      </w:pPr>
      <w:r>
        <w:rPr>
          <w:rFonts w:cs="Times New Roman" w:ascii="Times New Roman" w:hAnsi="Times New Roman"/>
          <w:sz w:val="24"/>
          <w:szCs w:val="24"/>
          <w:lang w:val="en-US"/>
        </w:rPr>
        <w:t>The possible COVID impact on the recoverability of these assets expressed by the audit firm is classified in our work as conservative, since the company has not stated in its Consolidated Annual Accounts or in the Management Report that COVID influences such recoverability. This absence of relationship can be visualized in the analysis of the following notes from the Consolidated Annual Accounts:</w:t>
      </w:r>
    </w:p>
    <w:p>
      <w:pPr>
        <w:pStyle w:val="Normal"/>
        <w:numPr>
          <w:ilvl w:val="0"/>
          <w:numId w:val="1"/>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In "</w:t>
      </w:r>
      <w:r>
        <w:rPr>
          <w:rFonts w:cs="Times New Roman" w:ascii="Times New Roman" w:hAnsi="Times New Roman"/>
          <w:i/>
          <w:iCs/>
          <w:sz w:val="24"/>
          <w:szCs w:val="24"/>
          <w:lang w:val="en-US"/>
        </w:rPr>
        <w:t>Note 1.8 Relevant Information regarding COVID-19</w:t>
      </w:r>
      <w:r>
        <w:rPr>
          <w:rFonts w:cs="Times New Roman" w:ascii="Times New Roman" w:hAnsi="Times New Roman"/>
          <w:sz w:val="24"/>
          <w:szCs w:val="24"/>
          <w:lang w:val="en-US"/>
        </w:rPr>
        <w:t>" (pages 19-20), deferred tax assets are not mentioned (financial assets are mentioned).</w:t>
      </w:r>
    </w:p>
    <w:p>
      <w:pPr>
        <w:pStyle w:val="Normal"/>
        <w:numPr>
          <w:ilvl w:val="0"/>
          <w:numId w:val="1"/>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In "</w:t>
      </w:r>
      <w:r>
        <w:rPr>
          <w:rFonts w:cs="Times New Roman" w:ascii="Times New Roman" w:hAnsi="Times New Roman"/>
          <w:i/>
          <w:iCs/>
          <w:sz w:val="24"/>
          <w:szCs w:val="24"/>
          <w:lang w:val="en-US"/>
        </w:rPr>
        <w:t>Note 2. Registration and Valuation Standards</w:t>
      </w:r>
      <w:r>
        <w:rPr>
          <w:rFonts w:cs="Times New Roman" w:ascii="Times New Roman" w:hAnsi="Times New Roman"/>
          <w:sz w:val="24"/>
          <w:szCs w:val="24"/>
          <w:lang w:val="en-US"/>
        </w:rPr>
        <w:t>" in the section "</w:t>
      </w:r>
      <w:r>
        <w:rPr>
          <w:rFonts w:cs="Times New Roman" w:ascii="Times New Roman" w:hAnsi="Times New Roman"/>
          <w:i/>
          <w:iCs/>
          <w:sz w:val="24"/>
          <w:szCs w:val="24"/>
          <w:lang w:val="en-US"/>
        </w:rPr>
        <w:t>2.13 Income tax</w:t>
      </w:r>
      <w:r>
        <w:rPr>
          <w:rFonts w:cs="Times New Roman" w:ascii="Times New Roman" w:hAnsi="Times New Roman"/>
          <w:sz w:val="24"/>
          <w:szCs w:val="24"/>
          <w:lang w:val="en-US"/>
        </w:rPr>
        <w:t>" (pages 44-45), COVID-19 is not referenced.</w:t>
      </w:r>
    </w:p>
    <w:p>
      <w:pPr>
        <w:pStyle w:val="Normal"/>
        <w:numPr>
          <w:ilvl w:val="0"/>
          <w:numId w:val="1"/>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In "</w:t>
      </w:r>
      <w:r>
        <w:rPr>
          <w:rFonts w:cs="Times New Roman" w:ascii="Times New Roman" w:hAnsi="Times New Roman"/>
          <w:i/>
          <w:iCs/>
          <w:sz w:val="24"/>
          <w:szCs w:val="24"/>
          <w:lang w:val="en-US"/>
        </w:rPr>
        <w:t>Note 3. Risk Management</w:t>
      </w:r>
      <w:r>
        <w:rPr>
          <w:rFonts w:cs="Times New Roman" w:ascii="Times New Roman" w:hAnsi="Times New Roman"/>
          <w:sz w:val="24"/>
          <w:szCs w:val="24"/>
          <w:lang w:val="en-US"/>
        </w:rPr>
        <w:t>" there are both references to COVID and deferred tax assets, but they are never related. Thus, on pages 92-96, it explains how COVID affects possible future scenarios, but without reference to deferred tax assets (only financial and real estate assets are mentioned). Subsequently, on pages 114-117, COVID impact is discussed but again without reference to deferred tax assets. And it is on page 117, in section "</w:t>
      </w:r>
      <w:r>
        <w:rPr>
          <w:rFonts w:cs="Times New Roman" w:ascii="Times New Roman" w:hAnsi="Times New Roman"/>
          <w:i/>
          <w:iCs/>
          <w:sz w:val="24"/>
          <w:szCs w:val="24"/>
          <w:lang w:val="en-US"/>
        </w:rPr>
        <w:t>3.4.2. Impairment risks of other assets</w:t>
      </w:r>
      <w:r>
        <w:rPr>
          <w:rFonts w:cs="Times New Roman" w:ascii="Times New Roman" w:hAnsi="Times New Roman"/>
          <w:sz w:val="24"/>
          <w:szCs w:val="24"/>
          <w:lang w:val="en-US"/>
        </w:rPr>
        <w:t>," where deferred tax assets are mentioned, but in this section, there is no reference to COVID-19.</w:t>
      </w:r>
    </w:p>
    <w:p>
      <w:pPr>
        <w:pStyle w:val="Normal"/>
        <w:numPr>
          <w:ilvl w:val="0"/>
          <w:numId w:val="1"/>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In "</w:t>
      </w:r>
      <w:r>
        <w:rPr>
          <w:rFonts w:cs="Times New Roman" w:ascii="Times New Roman" w:hAnsi="Times New Roman"/>
          <w:i/>
          <w:iCs/>
          <w:sz w:val="24"/>
          <w:szCs w:val="24"/>
          <w:lang w:val="en-US"/>
        </w:rPr>
        <w:t>Note 25. Tax situation</w:t>
      </w:r>
      <w:r>
        <w:rPr>
          <w:rFonts w:cs="Times New Roman" w:ascii="Times New Roman" w:hAnsi="Times New Roman"/>
          <w:sz w:val="24"/>
          <w:szCs w:val="24"/>
          <w:lang w:val="en-US"/>
        </w:rPr>
        <w:t>" (pages 201-204) there is no explicit reference to COVID, and when forecasts are specifically mentioned (page 204), it refers to "</w:t>
      </w:r>
      <w:r>
        <w:rPr>
          <w:rFonts w:cs="Times New Roman" w:ascii="Times New Roman" w:hAnsi="Times New Roman"/>
          <w:i/>
          <w:iCs/>
          <w:sz w:val="24"/>
          <w:szCs w:val="24"/>
          <w:lang w:val="en-US"/>
        </w:rPr>
        <w:t>Note 19. Intangible Assets</w:t>
      </w:r>
      <w:r>
        <w:rPr>
          <w:rFonts w:cs="Times New Roman" w:ascii="Times New Roman" w:hAnsi="Times New Roman"/>
          <w:sz w:val="24"/>
          <w:szCs w:val="24"/>
          <w:lang w:val="en-US"/>
        </w:rPr>
        <w:t>" and "</w:t>
      </w:r>
      <w:r>
        <w:rPr>
          <w:rFonts w:cs="Times New Roman" w:ascii="Times New Roman" w:hAnsi="Times New Roman"/>
          <w:i/>
          <w:iCs/>
          <w:sz w:val="24"/>
          <w:szCs w:val="24"/>
          <w:lang w:val="en-US"/>
        </w:rPr>
        <w:t>Note 3. Risk Management</w:t>
      </w:r>
      <w:r>
        <w:rPr>
          <w:rFonts w:cs="Times New Roman" w:ascii="Times New Roman" w:hAnsi="Times New Roman"/>
          <w:sz w:val="24"/>
          <w:szCs w:val="24"/>
          <w:lang w:val="en-US"/>
        </w:rPr>
        <w:t>." In Note 19 (pages 179-181), the hypotheses used, and sensitivity scenarios are explained (page 181), without mentioning COVID. And regarding Note 3, we have already described above that no explicit references are found on how COVID affects deferred tax assets.</w:t>
      </w:r>
    </w:p>
    <w:p>
      <w:pPr>
        <w:pStyle w:val="Normal"/>
        <w:spacing w:lineRule="auto" w:line="240" w:before="0" w:after="0"/>
        <w:ind w:firstLine="360"/>
        <w:jc w:val="both"/>
        <w:rPr>
          <w:rFonts w:ascii="Times New Roman" w:hAnsi="Times New Roman" w:cs="Times New Roman"/>
          <w:sz w:val="24"/>
          <w:szCs w:val="24"/>
          <w:lang w:val="en-US"/>
        </w:rPr>
      </w:pPr>
      <w:r>
        <w:rPr>
          <w:rFonts w:cs="Times New Roman" w:ascii="Times New Roman" w:hAnsi="Times New Roman"/>
          <w:sz w:val="24"/>
          <w:szCs w:val="24"/>
          <w:lang w:val="en-US"/>
        </w:rPr>
        <w:t>Analyzing the Consolidated Management Report, no explicit reference between COVID and deferred tax assets has been found either. Thus, on pages 126-138 of the Consolidated Management Report there is a chapter dedicated exclusively to COVID without reference to deferred tax assets.</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c) Generalist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When the company identifies a COVID-19-related risk or negative aspect for the company's equity, about which there is a KAM in the Audit Report, but this KAM does not explicitly mention COVID-19. This attitude is termed "Generalist" because, although the company reports a risk and suggests that COVID is an associated factor, the auditor acknowledges the existence of such a risk/adversity but no direct link to COVID-19 is established (in other words, it is generalist in the KAM description).</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Selected example: Recovery of Property, Plant and Equipment - Bahru Stainless cash generating unit of Acerinox</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The audit firm PwC, in its Audit Report for the 2020 fiscal year Consolidated Accounts of "Acerinox S.A," included a KAM (pages 3-4 of said Report) titled "</w:t>
      </w:r>
      <w:r>
        <w:rPr>
          <w:rFonts w:cs="Times New Roman" w:ascii="Times New Roman" w:hAnsi="Times New Roman"/>
          <w:i/>
          <w:iCs/>
          <w:sz w:val="24"/>
          <w:szCs w:val="24"/>
          <w:lang w:val="en-US"/>
        </w:rPr>
        <w:t>Recovery of Property, Plant and Equipment</w:t>
      </w:r>
      <w:r>
        <w:rPr>
          <w:rFonts w:cs="Times New Roman" w:ascii="Times New Roman" w:hAnsi="Times New Roman"/>
          <w:sz w:val="24"/>
          <w:szCs w:val="24"/>
          <w:lang w:val="en-US"/>
        </w:rPr>
        <w:t>" where there is no reference to COVID-19. Therefore, we classify this attitude as generalist, since the Audit Report does not specify that such risk of impairment of Property, Plant and Equipment is related to COVID, unlike what the company reports.</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In the KAM description, the impairment of €41,159 thousand net assets of the Bahru Stainless Cash Generating Unit is highlighted. Regarding this impairment, the company in "</w:t>
      </w:r>
      <w:r>
        <w:rPr>
          <w:rFonts w:cs="Times New Roman" w:ascii="Times New Roman" w:hAnsi="Times New Roman"/>
          <w:i/>
          <w:iCs/>
          <w:sz w:val="24"/>
          <w:szCs w:val="24"/>
          <w:lang w:val="en-US"/>
        </w:rPr>
        <w:t>Note 8. Property, Plant and Equipment</w:t>
      </w:r>
      <w:r>
        <w:rPr>
          <w:rFonts w:cs="Times New Roman" w:ascii="Times New Roman" w:hAnsi="Times New Roman"/>
          <w:sz w:val="24"/>
          <w:szCs w:val="24"/>
          <w:lang w:val="en-US"/>
        </w:rPr>
        <w:t>," in section "</w:t>
      </w:r>
      <w:r>
        <w:rPr>
          <w:rFonts w:cs="Times New Roman" w:ascii="Times New Roman" w:hAnsi="Times New Roman"/>
          <w:i/>
          <w:iCs/>
          <w:sz w:val="24"/>
          <w:szCs w:val="24"/>
          <w:lang w:val="en-US"/>
        </w:rPr>
        <w:t>Note 8.1 Impairment Value Corrections</w:t>
      </w:r>
      <w:r>
        <w:rPr>
          <w:rFonts w:cs="Times New Roman" w:ascii="Times New Roman" w:hAnsi="Times New Roman"/>
          <w:sz w:val="24"/>
          <w:szCs w:val="24"/>
          <w:lang w:val="en-US"/>
        </w:rPr>
        <w:t>" (pages 72-74 of the Consolidated Annual Accounts), when explaining the accounting policy for studying the existence of impairment in its assets (last sentence of page 72) declares that "</w:t>
      </w:r>
      <w:r>
        <w:rPr>
          <w:rFonts w:cs="Times New Roman" w:ascii="Times New Roman" w:hAnsi="Times New Roman"/>
          <w:i/>
          <w:iCs/>
          <w:sz w:val="24"/>
          <w:szCs w:val="24"/>
          <w:lang w:val="en-US"/>
        </w:rPr>
        <w:t>the mere existence of the pandemic is already an indication of impairment</w:t>
      </w:r>
      <w:r>
        <w:rPr>
          <w:rFonts w:cs="Times New Roman" w:ascii="Times New Roman" w:hAnsi="Times New Roman"/>
          <w:sz w:val="24"/>
          <w:szCs w:val="24"/>
          <w:lang w:val="en-US"/>
        </w:rPr>
        <w:t>." And subsequently (page 73) mentions the Bahru Stainless Cash Generating Unit linking its activity to COVID-19 (first paragraph) since "</w:t>
      </w:r>
      <w:r>
        <w:rPr>
          <w:rFonts w:cs="Times New Roman" w:ascii="Times New Roman" w:hAnsi="Times New Roman"/>
          <w:i/>
          <w:iCs/>
          <w:sz w:val="24"/>
          <w:szCs w:val="24"/>
          <w:lang w:val="en-US"/>
        </w:rPr>
        <w:t>the measures taken by different governments to curb the spread and lethality of the pandemic for society as a whole have affected the entire Acerinox Group. Measures such as population confinement and complete stoppage of all activity defined as non-essential, have especially affected the Bahru Stainless and Columbus Stainless factories that have been stopped by government order during the entire month of April and some days in March</w:t>
      </w:r>
      <w:r>
        <w:rPr>
          <w:rFonts w:cs="Times New Roman" w:ascii="Times New Roman" w:hAnsi="Times New Roman"/>
          <w:sz w:val="24"/>
          <w:szCs w:val="24"/>
          <w:lang w:val="en-US"/>
        </w:rPr>
        <w:t>," adding how it affects along with impairment indicators by stating (seventh paragraph) that "</w:t>
      </w:r>
      <w:r>
        <w:rPr>
          <w:rFonts w:cs="Times New Roman" w:ascii="Times New Roman" w:hAnsi="Times New Roman"/>
          <w:i/>
          <w:iCs/>
          <w:sz w:val="24"/>
          <w:szCs w:val="24"/>
          <w:lang w:val="en-US"/>
        </w:rPr>
        <w:t>In this fiscal year, impairment indicators have occurred in the companies Bahru Stainless Sdn. Bhd., Columbus Stainless PTY Ltd, Acerinox Europa S.A.U. Roldan, S.A.Inoxfil, S.A. and Acerinox S.C. Malaysia Sdn, Bhd. The impairment indicators, in addition to the pandemic itself, are based on recorded losses and/or substantial deviation from the estimates made.</w:t>
      </w:r>
      <w:r>
        <w:rPr>
          <w:rFonts w:cs="Times New Roman" w:ascii="Times New Roman" w:hAnsi="Times New Roman"/>
          <w:sz w:val="24"/>
          <w:szCs w:val="24"/>
          <w:lang w:val="en-US"/>
        </w:rPr>
        <w:t>," ending (last paragraph of page 73) with the statement that "</w:t>
      </w:r>
      <w:r>
        <w:rPr>
          <w:rFonts w:cs="Times New Roman" w:ascii="Times New Roman" w:hAnsi="Times New Roman"/>
          <w:i/>
          <w:iCs/>
          <w:sz w:val="24"/>
          <w:szCs w:val="24"/>
          <w:lang w:val="en-US"/>
        </w:rPr>
        <w:t>In conclusion, in view of the uncertain evolution of the global COVID-19 pandemic, the uncertainties that excess installed capacity generates in the Asian Market, the sustained low prices in recent years and the growing instability generated by protectionist measures in international trade flows, the Group has considered that Bahru's projected flows are subject to high uncertainty</w:t>
      </w:r>
      <w:r>
        <w:rPr>
          <w:rFonts w:cs="Times New Roman" w:ascii="Times New Roman" w:hAnsi="Times New Roman"/>
          <w:sz w:val="24"/>
          <w:szCs w:val="24"/>
          <w:lang w:val="en-US"/>
        </w:rPr>
        <w: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Observing Acerinox's 2020 Consolidated Management Report, the link between COVID-19 and the determination of this impairment is reiterated (second paragraph of page 55 of said Report): "</w:t>
      </w:r>
      <w:r>
        <w:rPr>
          <w:rFonts w:cs="Times New Roman" w:ascii="Times New Roman" w:hAnsi="Times New Roman"/>
          <w:i/>
          <w:iCs/>
          <w:sz w:val="24"/>
          <w:szCs w:val="24"/>
          <w:lang w:val="en-US"/>
        </w:rPr>
        <w:t>Following the regulator's recommendations, impairment tests were performed as of June 30 in view of the global economic impact generated by COVID-19. As a result of the valuations, it was only necessary to make asset impairment at Bahru Stainless for an amount of €43 million, which has affected the EBIT level</w:t>
      </w:r>
      <w:r>
        <w:rPr>
          <w:rFonts w:cs="Times New Roman" w:ascii="Times New Roman" w:hAnsi="Times New Roman"/>
          <w:sz w:val="24"/>
          <w:szCs w:val="24"/>
          <w:lang w:val="en-US"/>
        </w:rPr>
        <w:t>"</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d) Aligned by No COVID Risk</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When a KAM is included in the Audit Report but does not mention COVID-19, and when the information prepared by the company does not identify COVID-19 as a factor related to this KAM. This attitude is termed "Aligned by No COVID Risk" because the company and the auditor agree that this risk is not considered to be linked to COVID-19.</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Selected example: Recoverability of deferred tax assets at Solaria</w:t>
      </w:r>
    </w:p>
    <w:p>
      <w:pPr>
        <w:pStyle w:val="Normal"/>
        <w:spacing w:lineRule="auto" w:line="240" w:before="0" w:after="0"/>
        <w:ind w:firstLine="360"/>
        <w:jc w:val="both"/>
        <w:rPr>
          <w:rFonts w:ascii="Times New Roman" w:hAnsi="Times New Roman" w:cs="Times New Roman"/>
          <w:sz w:val="24"/>
          <w:szCs w:val="24"/>
          <w:lang w:val="en-US"/>
        </w:rPr>
      </w:pPr>
      <w:r>
        <w:rPr>
          <w:rFonts w:cs="Times New Roman" w:ascii="Times New Roman" w:hAnsi="Times New Roman"/>
          <w:sz w:val="24"/>
          <w:szCs w:val="24"/>
          <w:lang w:val="en-US"/>
        </w:rPr>
        <w:t>The audit firm EY, in its Audit Report for the 2020 fiscal year for the Consolidated Accounts of "Solaria S.A." included a KAM (pages 2-3 of said Report) titled "</w:t>
      </w:r>
      <w:r>
        <w:rPr>
          <w:rFonts w:cs="Times New Roman" w:ascii="Times New Roman" w:hAnsi="Times New Roman"/>
          <w:i/>
          <w:iCs/>
          <w:sz w:val="24"/>
          <w:szCs w:val="24"/>
          <w:lang w:val="en-US"/>
        </w:rPr>
        <w:t>Recovery of deferred tax assets</w:t>
      </w:r>
      <w:r>
        <w:rPr>
          <w:rFonts w:cs="Times New Roman" w:ascii="Times New Roman" w:hAnsi="Times New Roman"/>
          <w:sz w:val="24"/>
          <w:szCs w:val="24"/>
          <w:lang w:val="en-US"/>
        </w:rPr>
        <w:t>" where it mentions the existence of these types of assets registered for an amount of €67,224 thousand, which by their deferred nature, their recoverability depends on the Group's ability to generate future tax benefits, being considered by the audit firm "</w:t>
      </w:r>
      <w:r>
        <w:rPr>
          <w:rFonts w:cs="Times New Roman" w:ascii="Times New Roman" w:hAnsi="Times New Roman"/>
          <w:i/>
          <w:iCs/>
          <w:sz w:val="24"/>
          <w:szCs w:val="24"/>
          <w:lang w:val="en-US"/>
        </w:rPr>
        <w:t>a key matter of our audit because the analyses performed by the Administrators of the parent Company require making estimates that involve complex judgments for determining the Group's future tax benefits.</w:t>
      </w:r>
      <w:r>
        <w:rPr>
          <w:rFonts w:cs="Times New Roman" w:ascii="Times New Roman" w:hAnsi="Times New Roman"/>
          <w:sz w:val="24"/>
          <w:szCs w:val="24"/>
          <w:lang w:val="en-US"/>
        </w:rPr>
        <w:t>" But in this KAM there is no reference to COVID-19, neither in its description nor in the audit procedures mentioned. This absence of relationship between the recovery of said assets and COVID-19 also occurs in the Consolidated Annual Accounts and Consolidated Management Report for the 2020 fiscal year of Solaria, since:</w:t>
      </w:r>
    </w:p>
    <w:p>
      <w:pPr>
        <w:pStyle w:val="Normal"/>
        <w:numPr>
          <w:ilvl w:val="0"/>
          <w:numId w:val="2"/>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On page 9 of the Consolidated Annual Accounts in "</w:t>
      </w:r>
      <w:r>
        <w:rPr>
          <w:rFonts w:cs="Times New Roman" w:ascii="Times New Roman" w:hAnsi="Times New Roman"/>
          <w:i/>
          <w:iCs/>
          <w:sz w:val="24"/>
          <w:szCs w:val="24"/>
          <w:lang w:val="en-US"/>
        </w:rPr>
        <w:t>Note 2.4 Effects of the COVID-19 Pandemic on the Group's activity</w:t>
      </w:r>
      <w:r>
        <w:rPr>
          <w:rFonts w:cs="Times New Roman" w:ascii="Times New Roman" w:hAnsi="Times New Roman"/>
          <w:sz w:val="24"/>
          <w:szCs w:val="24"/>
          <w:lang w:val="en-US"/>
        </w:rPr>
        <w:t>," it is highlighted (last paragraph of such Note 2.4) that "</w:t>
      </w:r>
      <w:r>
        <w:rPr>
          <w:rFonts w:cs="Times New Roman" w:ascii="Times New Roman" w:hAnsi="Times New Roman"/>
          <w:i/>
          <w:iCs/>
          <w:sz w:val="24"/>
          <w:szCs w:val="24"/>
          <w:lang w:val="en-US"/>
        </w:rPr>
        <w:t>The evolution of the pandemic is having consequences for the economy in general. However, as of the date of formulation of these consolidated annual accounts, no significant effects have occurred in the Group's activity and, according to current estimates by the Administrators, no relevant effects are estimated for fiscal year 2021.</w:t>
      </w:r>
      <w:r>
        <w:rPr>
          <w:rFonts w:cs="Times New Roman" w:ascii="Times New Roman" w:hAnsi="Times New Roman"/>
          <w:sz w:val="24"/>
          <w:szCs w:val="24"/>
          <w:lang w:val="en-US"/>
        </w:rPr>
        <w:t>"</w:t>
      </w:r>
    </w:p>
    <w:p>
      <w:pPr>
        <w:pStyle w:val="Normal"/>
        <w:numPr>
          <w:ilvl w:val="0"/>
          <w:numId w:val="2"/>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On page 10 of the Consolidated Annual Accounts, in "</w:t>
      </w:r>
      <w:r>
        <w:rPr>
          <w:rFonts w:cs="Times New Roman" w:ascii="Times New Roman" w:hAnsi="Times New Roman"/>
          <w:i/>
          <w:iCs/>
          <w:sz w:val="24"/>
          <w:szCs w:val="24"/>
          <w:lang w:val="en-US"/>
        </w:rPr>
        <w:t>Note 2.5 Information responsibility, estimates made and relevant judgments in the application of accounting policies</w:t>
      </w:r>
      <w:r>
        <w:rPr>
          <w:rFonts w:cs="Times New Roman" w:ascii="Times New Roman" w:hAnsi="Times New Roman"/>
          <w:sz w:val="24"/>
          <w:szCs w:val="24"/>
          <w:lang w:val="en-US"/>
        </w:rPr>
        <w:t>" there is no mention of COVID-19</w:t>
      </w:r>
    </w:p>
    <w:p>
      <w:pPr>
        <w:pStyle w:val="Normal"/>
        <w:numPr>
          <w:ilvl w:val="0"/>
          <w:numId w:val="2"/>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Within "</w:t>
      </w:r>
      <w:r>
        <w:rPr>
          <w:rFonts w:cs="Times New Roman" w:ascii="Times New Roman" w:hAnsi="Times New Roman"/>
          <w:i/>
          <w:iCs/>
          <w:sz w:val="24"/>
          <w:szCs w:val="24"/>
          <w:lang w:val="en-US"/>
        </w:rPr>
        <w:t>Note 4. Accounting principles and policies and valuation criteria</w:t>
      </w:r>
      <w:r>
        <w:rPr>
          <w:rFonts w:cs="Times New Roman" w:ascii="Times New Roman" w:hAnsi="Times New Roman"/>
          <w:sz w:val="24"/>
          <w:szCs w:val="24"/>
          <w:lang w:val="en-US"/>
        </w:rPr>
        <w:t>" in section "</w:t>
      </w:r>
      <w:r>
        <w:rPr>
          <w:rFonts w:cs="Times New Roman" w:ascii="Times New Roman" w:hAnsi="Times New Roman"/>
          <w:i/>
          <w:iCs/>
          <w:sz w:val="24"/>
          <w:szCs w:val="24"/>
          <w:lang w:val="en-US"/>
        </w:rPr>
        <w:t>4.10 Income tax</w:t>
      </w:r>
      <w:r>
        <w:rPr>
          <w:rFonts w:cs="Times New Roman" w:ascii="Times New Roman" w:hAnsi="Times New Roman"/>
          <w:sz w:val="24"/>
          <w:szCs w:val="24"/>
          <w:lang w:val="en-US"/>
        </w:rPr>
        <w:t>" (pages 23-25 of the Consolidated Annual Accounts) there is also no mention of COVID-19</w:t>
      </w:r>
    </w:p>
    <w:p>
      <w:pPr>
        <w:pStyle w:val="Normal"/>
        <w:numPr>
          <w:ilvl w:val="0"/>
          <w:numId w:val="2"/>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Concluding with the Consolidated Annual Accounts, it is observed that in "Note 13 Tax Situation" (pages 44-46), there is also no reference to COVID-19</w:t>
      </w:r>
    </w:p>
    <w:p>
      <w:pPr>
        <w:pStyle w:val="Normal"/>
        <w:numPr>
          <w:ilvl w:val="0"/>
          <w:numId w:val="2"/>
        </w:numPr>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Finally, there is no mention that relates COVID-19 with deferred tax assets in Solaria's 2020 Consolidated Management Report either.</w:t>
      </w:r>
    </w:p>
    <w:p>
      <w:pPr>
        <w:pStyle w:val="Normal"/>
        <w:spacing w:lineRule="auto" w:line="240" w:before="0" w:after="0"/>
        <w:jc w:val="both"/>
        <w:rPr>
          <w:rFonts w:ascii="Times New Roman" w:hAnsi="Times New Roman" w:cs="Times New Roman"/>
          <w:b/>
          <w:bCs/>
          <w:sz w:val="24"/>
          <w:szCs w:val="24"/>
          <w:lang w:val="en-GB"/>
        </w:rPr>
      </w:pPr>
      <w:r>
        <w:rPr/>
      </w:r>
    </w:p>
    <w:sectPr>
      <w:footerReference w:type="even" r:id="rId2"/>
      <w:footerReference w:type="default" r:id="rId3"/>
      <w:footerReference w:type="first" r:id="rId4"/>
      <w:type w:val="nextPage"/>
      <w:pgSz w:w="12240" w:h="15840"/>
      <w:pgMar w:left="1701" w:right="1701" w:gutter="0" w:header="0" w:top="1417" w:footer="720" w:bottom="141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98743519"/>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pPr>
      <w:pStyle w:val="Footer"/>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49987028"/>
    </w:sdtPr>
    <w:sdtContent>
      <w:p>
        <w:pPr>
          <w:pStyle w:val="Footer"/>
          <w:rPr>
            <w:rStyle w:val="Pagenumber"/>
            <w:rFonts w:ascii="Times New Roman" w:hAnsi="Times New Roman" w:cs="Times New Roman"/>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4</w:t>
        </w:r>
        <w:r>
          <w:rPr>
            <w:rStyle w:val="Pagenumber"/>
            <w:rFonts w:cs="Times New Roman" w:ascii="Times New Roman" w:hAnsi="Times New Roman"/>
          </w:rPr>
          <w:fldChar w:fldCharType="end"/>
        </w:r>
      </w:p>
    </w:sdtContent>
  </w:sdt>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542045"/>
    </w:sdtPr>
    <w:sdtContent>
      <w:p>
        <w:pPr>
          <w:pStyle w:val="Footer"/>
          <w:rPr>
            <w:rStyle w:val="Pagenumber"/>
            <w:rFonts w:ascii="Times New Roman" w:hAnsi="Times New Roman" w:cs="Times New Roman"/>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4</w:t>
        </w:r>
        <w:r>
          <w:rPr>
            <w:rStyle w:val="Pagenumber"/>
            <w:rFonts w:cs="Times New Roman" w:ascii="Times New Roman" w:hAnsi="Times New Roman"/>
          </w:rPr>
          <w:fldChar w:fldCharType="end"/>
        </w:r>
      </w:p>
    </w:sdtContent>
  </w:sdt>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s-ES"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540"/>
    <w:pPr>
      <w:widowControl/>
      <w:bidi w:val="0"/>
      <w:spacing w:lineRule="auto" w:line="276" w:before="0" w:after="200"/>
      <w:jc w:val="left"/>
    </w:pPr>
    <w:rPr>
      <w:rFonts w:ascii="Aptos" w:hAnsi="Aptos" w:eastAsia="Aptos" w:cs=""/>
      <w:color w:val="auto"/>
      <w:kern w:val="0"/>
      <w:sz w:val="22"/>
      <w:szCs w:val="22"/>
      <w:lang w:val="es-ES" w:eastAsia="en-US" w:bidi="ar-SA"/>
      <w14:ligatures w14:val="none"/>
    </w:rPr>
  </w:style>
  <w:style w:type="paragraph" w:styleId="Heading1">
    <w:name w:val="Heading 1"/>
    <w:basedOn w:val="Normal"/>
    <w:next w:val="Normal"/>
    <w:link w:val="Heading1Char"/>
    <w:uiPriority w:val="9"/>
    <w:qFormat/>
    <w:rsid w:val="00a61d51"/>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a61d51"/>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a61d51"/>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a61d51"/>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a61d51"/>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a61d51"/>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a61d51"/>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a61d51"/>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a61d51"/>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a61d51"/>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a61d51"/>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a61d51"/>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a61d51"/>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a61d51"/>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a61d51"/>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a61d51"/>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a61d51"/>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a61d51"/>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a61d51"/>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a61d51"/>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a61d51"/>
    <w:rPr>
      <w:i/>
      <w:iCs/>
      <w:color w:val="404040" w:themeColor="text1" w:themeTint="bf"/>
    </w:rPr>
  </w:style>
  <w:style w:type="character" w:styleId="IntenseEmphasis">
    <w:name w:val="Intense Emphasis"/>
    <w:basedOn w:val="DefaultParagraphFont"/>
    <w:uiPriority w:val="21"/>
    <w:qFormat/>
    <w:rsid w:val="00a61d51"/>
    <w:rPr>
      <w:i/>
      <w:iCs/>
      <w:color w:val="0F4761" w:themeColor="accent1" w:themeShade="bf"/>
    </w:rPr>
  </w:style>
  <w:style w:type="character" w:styleId="IntenseQuoteChar" w:customStyle="1">
    <w:name w:val="Intense Quote Char"/>
    <w:basedOn w:val="DefaultParagraphFont"/>
    <w:link w:val="IntenseQuote"/>
    <w:uiPriority w:val="30"/>
    <w:qFormat/>
    <w:rsid w:val="00a61d51"/>
    <w:rPr>
      <w:i/>
      <w:iCs/>
      <w:color w:val="0F4761" w:themeColor="accent1" w:themeShade="bf"/>
    </w:rPr>
  </w:style>
  <w:style w:type="character" w:styleId="IntenseReference">
    <w:name w:val="Intense Reference"/>
    <w:basedOn w:val="DefaultParagraphFont"/>
    <w:uiPriority w:val="32"/>
    <w:qFormat/>
    <w:rsid w:val="00a61d51"/>
    <w:rPr>
      <w:b/>
      <w:bCs/>
      <w:smallCaps/>
      <w:color w:val="0F4761" w:themeColor="accent1" w:themeShade="bf"/>
      <w:spacing w:val="5"/>
    </w:rPr>
  </w:style>
  <w:style w:type="character" w:styleId="Apple-converted-space" w:customStyle="1">
    <w:name w:val="apple-converted-space"/>
    <w:basedOn w:val="DefaultParagraphFont"/>
    <w:qFormat/>
    <w:rsid w:val="00362540"/>
    <w:rPr/>
  </w:style>
  <w:style w:type="character" w:styleId="Referenceperson-group" w:customStyle="1">
    <w:name w:val="reference__person-group"/>
    <w:basedOn w:val="DefaultParagraphFont"/>
    <w:qFormat/>
    <w:rsid w:val="00362540"/>
    <w:rPr/>
  </w:style>
  <w:style w:type="character" w:styleId="Referencestring-name" w:customStyle="1">
    <w:name w:val="reference__string-name"/>
    <w:basedOn w:val="DefaultParagraphFont"/>
    <w:qFormat/>
    <w:rsid w:val="00362540"/>
    <w:rPr/>
  </w:style>
  <w:style w:type="character" w:styleId="Referencesurname" w:customStyle="1">
    <w:name w:val="reference__surname"/>
    <w:basedOn w:val="DefaultParagraphFont"/>
    <w:qFormat/>
    <w:rsid w:val="00362540"/>
    <w:rPr/>
  </w:style>
  <w:style w:type="character" w:styleId="Referencegiven-names" w:customStyle="1">
    <w:name w:val="reference__given-names"/>
    <w:basedOn w:val="DefaultParagraphFont"/>
    <w:qFormat/>
    <w:rsid w:val="00362540"/>
    <w:rPr/>
  </w:style>
  <w:style w:type="character" w:styleId="Referenceyear" w:customStyle="1">
    <w:name w:val="reference__year"/>
    <w:basedOn w:val="DefaultParagraphFont"/>
    <w:qFormat/>
    <w:rsid w:val="00362540"/>
    <w:rPr/>
  </w:style>
  <w:style w:type="character" w:styleId="Referencearticle-title" w:customStyle="1">
    <w:name w:val="reference__article-title"/>
    <w:basedOn w:val="DefaultParagraphFont"/>
    <w:qFormat/>
    <w:rsid w:val="00362540"/>
    <w:rPr/>
  </w:style>
  <w:style w:type="character" w:styleId="Referencesource" w:customStyle="1">
    <w:name w:val="reference__source"/>
    <w:basedOn w:val="DefaultParagraphFont"/>
    <w:qFormat/>
    <w:rsid w:val="00362540"/>
    <w:rPr/>
  </w:style>
  <w:style w:type="character" w:styleId="Referencevolume" w:customStyle="1">
    <w:name w:val="reference__volume"/>
    <w:basedOn w:val="DefaultParagraphFont"/>
    <w:qFormat/>
    <w:rsid w:val="00362540"/>
    <w:rPr/>
  </w:style>
  <w:style w:type="character" w:styleId="Referenceissue" w:customStyle="1">
    <w:name w:val="reference__issue"/>
    <w:basedOn w:val="DefaultParagraphFont"/>
    <w:qFormat/>
    <w:rsid w:val="00362540"/>
    <w:rPr/>
  </w:style>
  <w:style w:type="character" w:styleId="Referencefpage" w:customStyle="1">
    <w:name w:val="reference__fpage"/>
    <w:basedOn w:val="DefaultParagraphFont"/>
    <w:qFormat/>
    <w:rsid w:val="00362540"/>
    <w:rPr/>
  </w:style>
  <w:style w:type="character" w:styleId="Referencelpage" w:customStyle="1">
    <w:name w:val="reference__lpage"/>
    <w:basedOn w:val="DefaultParagraphFont"/>
    <w:qFormat/>
    <w:rsid w:val="00362540"/>
    <w:rPr/>
  </w:style>
  <w:style w:type="character" w:styleId="InternetLink">
    <w:name w:val="Hyperlink"/>
    <w:basedOn w:val="DefaultParagraphFont"/>
    <w:uiPriority w:val="99"/>
    <w:unhideWhenUsed/>
    <w:rsid w:val="00362540"/>
    <w:rPr>
      <w:color w:val="467886" w:themeColor="hyperlink"/>
      <w:u w:val="single"/>
    </w:rPr>
  </w:style>
  <w:style w:type="character" w:styleId="VisitedInternetLink">
    <w:name w:val="FollowedHyperlink"/>
    <w:basedOn w:val="DefaultParagraphFont"/>
    <w:uiPriority w:val="99"/>
    <w:semiHidden/>
    <w:unhideWhenUsed/>
    <w:rsid w:val="00bd3b9f"/>
    <w:rPr>
      <w:color w:val="96607D" w:themeColor="followedHyperlink"/>
      <w:u w:val="single"/>
    </w:rPr>
  </w:style>
  <w:style w:type="character" w:styleId="UnresolvedMention" w:customStyle="1">
    <w:name w:val="Unresolved Mention"/>
    <w:basedOn w:val="DefaultParagraphFont"/>
    <w:uiPriority w:val="99"/>
    <w:semiHidden/>
    <w:unhideWhenUsed/>
    <w:qFormat/>
    <w:rsid w:val="00cc5f77"/>
    <w:rPr>
      <w:color w:val="605E5C"/>
      <w:shd w:fill="E1DFDD" w:val="clear"/>
    </w:rPr>
  </w:style>
  <w:style w:type="character" w:styleId="FootnoteTextChar" w:customStyle="1">
    <w:name w:val="Footnote Text Char"/>
    <w:basedOn w:val="DefaultParagraphFont"/>
    <w:link w:val="Footnote"/>
    <w:uiPriority w:val="99"/>
    <w:semiHidden/>
    <w:qFormat/>
    <w:rsid w:val="00fc3e80"/>
    <w:rPr>
      <w:kern w:val="0"/>
      <w:sz w:val="20"/>
      <w:szCs w:val="20"/>
      <w14:ligatures w14:val="none"/>
    </w:rPr>
  </w:style>
  <w:style w:type="character" w:styleId="FootnoteCharacters">
    <w:name w:val="Footnote Characters"/>
    <w:basedOn w:val="DefaultParagraphFont"/>
    <w:uiPriority w:val="99"/>
    <w:semiHidden/>
    <w:unhideWhenUsed/>
    <w:qFormat/>
    <w:rsid w:val="00fc3e80"/>
    <w:rPr>
      <w:vertAlign w:val="superscript"/>
    </w:rPr>
  </w:style>
  <w:style w:type="character" w:styleId="FootnoteAnchor">
    <w:name w:val="Footnote Reference"/>
    <w:rPr>
      <w:vertAlign w:val="superscript"/>
    </w:rPr>
  </w:style>
  <w:style w:type="character" w:styleId="Annotationreference">
    <w:name w:val="annotation reference"/>
    <w:basedOn w:val="DefaultParagraphFont"/>
    <w:uiPriority w:val="99"/>
    <w:semiHidden/>
    <w:unhideWhenUsed/>
    <w:qFormat/>
    <w:rsid w:val="006b0d3a"/>
    <w:rPr>
      <w:sz w:val="16"/>
      <w:szCs w:val="16"/>
    </w:rPr>
  </w:style>
  <w:style w:type="character" w:styleId="CommentTextChar" w:customStyle="1">
    <w:name w:val="Comment Text Char"/>
    <w:basedOn w:val="DefaultParagraphFont"/>
    <w:link w:val="Annotationtext"/>
    <w:uiPriority w:val="99"/>
    <w:qFormat/>
    <w:rsid w:val="006b0d3a"/>
    <w:rPr>
      <w:kern w:val="0"/>
      <w:sz w:val="20"/>
      <w:szCs w:val="20"/>
      <w14:ligatures w14:val="none"/>
    </w:rPr>
  </w:style>
  <w:style w:type="character" w:styleId="CommentSubjectChar" w:customStyle="1">
    <w:name w:val="Comment Subject Char"/>
    <w:basedOn w:val="CommentTextChar"/>
    <w:link w:val="Annotationsubject"/>
    <w:uiPriority w:val="99"/>
    <w:semiHidden/>
    <w:qFormat/>
    <w:rsid w:val="006b0d3a"/>
    <w:rPr>
      <w:b/>
      <w:bCs/>
      <w:kern w:val="0"/>
      <w:sz w:val="20"/>
      <w:szCs w:val="20"/>
      <w14:ligatures w14:val="none"/>
    </w:rPr>
  </w:style>
  <w:style w:type="character" w:styleId="FooterChar" w:customStyle="1">
    <w:name w:val="Footer Char"/>
    <w:basedOn w:val="DefaultParagraphFont"/>
    <w:link w:val="Footer"/>
    <w:uiPriority w:val="99"/>
    <w:qFormat/>
    <w:rsid w:val="00cc62ec"/>
    <w:rPr>
      <w:kern w:val="0"/>
      <w:sz w:val="22"/>
      <w:szCs w:val="22"/>
      <w14:ligatures w14:val="none"/>
    </w:rPr>
  </w:style>
  <w:style w:type="character" w:styleId="Pagenumber">
    <w:name w:val="page number"/>
    <w:basedOn w:val="DefaultParagraphFont"/>
    <w:uiPriority w:val="99"/>
    <w:semiHidden/>
    <w:unhideWhenUsed/>
    <w:qFormat/>
    <w:rsid w:val="00cc62ec"/>
    <w:rPr/>
  </w:style>
  <w:style w:type="character" w:styleId="HeaderChar" w:customStyle="1">
    <w:name w:val="Header Char"/>
    <w:basedOn w:val="DefaultParagraphFont"/>
    <w:link w:val="Header"/>
    <w:uiPriority w:val="99"/>
    <w:qFormat/>
    <w:rsid w:val="00cc62ec"/>
    <w:rPr>
      <w:kern w:val="0"/>
      <w:sz w:val="22"/>
      <w:szCs w:val="22"/>
      <w14:ligatures w14:val="none"/>
    </w:rPr>
  </w:style>
  <w:style w:type="character" w:styleId="EndnoteAnchor">
    <w:name w:val="Endnote Reference"/>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a61d51"/>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a61d51"/>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a61d51"/>
    <w:pPr>
      <w:spacing w:before="160" w:after="200"/>
      <w:jc w:val="center"/>
    </w:pPr>
    <w:rPr>
      <w:i/>
      <w:iCs/>
      <w:color w:val="404040" w:themeColor="text1" w:themeTint="bf"/>
    </w:rPr>
  </w:style>
  <w:style w:type="paragraph" w:styleId="ListParagraph">
    <w:name w:val="List Paragraph"/>
    <w:basedOn w:val="Normal"/>
    <w:uiPriority w:val="34"/>
    <w:qFormat/>
    <w:rsid w:val="00a61d51"/>
    <w:pPr>
      <w:spacing w:before="0" w:after="200"/>
      <w:ind w:left="720" w:hanging="0"/>
      <w:contextualSpacing/>
    </w:pPr>
    <w:rPr/>
  </w:style>
  <w:style w:type="paragraph" w:styleId="IntenseQuote">
    <w:name w:val="Intense Quote"/>
    <w:basedOn w:val="Normal"/>
    <w:next w:val="Normal"/>
    <w:link w:val="IntenseQuoteChar"/>
    <w:uiPriority w:val="30"/>
    <w:qFormat/>
    <w:rsid w:val="00a61d51"/>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unhideWhenUsed/>
    <w:qFormat/>
    <w:rsid w:val="00362540"/>
    <w:pPr>
      <w:spacing w:lineRule="auto" w:line="240" w:beforeAutospacing="1" w:afterAutospacing="1"/>
    </w:pPr>
    <w:rPr>
      <w:rFonts w:ascii="Times New Roman" w:hAnsi="Times New Roman" w:eastAsia="Times New Roman" w:cs="Times New Roman"/>
      <w:sz w:val="24"/>
      <w:szCs w:val="24"/>
      <w:lang w:eastAsia="es-ES_tradnl"/>
    </w:rPr>
  </w:style>
  <w:style w:type="paragraph" w:styleId="Revision">
    <w:name w:val="Revision"/>
    <w:uiPriority w:val="99"/>
    <w:semiHidden/>
    <w:qFormat/>
    <w:rsid w:val="00362588"/>
    <w:pPr>
      <w:widowControl/>
      <w:bidi w:val="0"/>
      <w:spacing w:lineRule="auto" w:line="240" w:before="0" w:after="0"/>
      <w:jc w:val="left"/>
    </w:pPr>
    <w:rPr>
      <w:rFonts w:ascii="Aptos" w:hAnsi="Aptos" w:eastAsia="Aptos" w:cs=""/>
      <w:color w:val="auto"/>
      <w:kern w:val="0"/>
      <w:sz w:val="22"/>
      <w:szCs w:val="22"/>
      <w:lang w:val="es-ES" w:eastAsia="en-US" w:bidi="ar-SA"/>
      <w14:ligatures w14:val="none"/>
    </w:rPr>
  </w:style>
  <w:style w:type="paragraph" w:styleId="Footnote">
    <w:name w:val="Footnote Text"/>
    <w:basedOn w:val="Normal"/>
    <w:link w:val="FootnoteTextChar"/>
    <w:uiPriority w:val="99"/>
    <w:semiHidden/>
    <w:unhideWhenUsed/>
    <w:rsid w:val="00fc3e80"/>
    <w:pPr>
      <w:spacing w:lineRule="auto" w:line="240" w:before="0" w:after="0"/>
    </w:pPr>
    <w:rPr>
      <w:sz w:val="20"/>
      <w:szCs w:val="20"/>
    </w:rPr>
  </w:style>
  <w:style w:type="paragraph" w:styleId="Annotationtext">
    <w:name w:val="annotation text"/>
    <w:basedOn w:val="Normal"/>
    <w:link w:val="CommentTextChar"/>
    <w:uiPriority w:val="99"/>
    <w:unhideWhenUsed/>
    <w:qFormat/>
    <w:rsid w:val="006b0d3a"/>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6b0d3a"/>
    <w:pPr/>
    <w:rPr>
      <w:b/>
      <w:bCs/>
    </w:rPr>
  </w:style>
  <w:style w:type="paragraph" w:styleId="HeaderandFooter">
    <w:name w:val="Header and Footer"/>
    <w:basedOn w:val="Normal"/>
    <w:qFormat/>
    <w:pPr/>
    <w:rPr/>
  </w:style>
  <w:style w:type="paragraph" w:styleId="Footer">
    <w:name w:val="Footer"/>
    <w:basedOn w:val="Normal"/>
    <w:link w:val="FooterChar"/>
    <w:uiPriority w:val="99"/>
    <w:unhideWhenUsed/>
    <w:rsid w:val="00cc62ec"/>
    <w:pPr>
      <w:tabs>
        <w:tab w:val="clear" w:pos="708"/>
        <w:tab w:val="center" w:pos="4419" w:leader="none"/>
        <w:tab w:val="right" w:pos="8838" w:leader="none"/>
      </w:tabs>
      <w:spacing w:lineRule="auto" w:line="240" w:before="0" w:after="0"/>
    </w:pPr>
    <w:rPr/>
  </w:style>
  <w:style w:type="paragraph" w:styleId="Header">
    <w:name w:val="Header"/>
    <w:basedOn w:val="Normal"/>
    <w:link w:val="HeaderChar"/>
    <w:uiPriority w:val="99"/>
    <w:unhideWhenUsed/>
    <w:rsid w:val="00cc62ec"/>
    <w:pPr>
      <w:tabs>
        <w:tab w:val="clear" w:pos="708"/>
        <w:tab w:val="center" w:pos="4419" w:leader="none"/>
        <w:tab w:val="right" w:pos="8838"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665a02"/>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C349E-5A26-42EA-BC8E-29BC5FCE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Application>LibreOffice/7.5.2.2$Windows_X86_64 LibreOffice_project/53bb9681a964705cf672590721dbc85eb4d0c3a2</Application>
  <AppVersion>15.0000</AppVersion>
  <Pages>4</Pages>
  <Words>1826</Words>
  <Characters>9953</Characters>
  <CharactersWithSpaces>11736</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2025-05-20T18:22:00Z</dcterms:created>
  <dc:creator/>
  <dc:description/>
  <dc:language>en-US</dc:language>
  <cp:lastModifiedBy/>
  <cp:lastPrinted>2025-10-12T15:02:00Z</cp:lastPrinted>
  <dcterms:modified xsi:type="dcterms:W3CDTF">2026-07-30T08:59:59Z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