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48B" w:rsidRPr="00372D05" w:rsidRDefault="00BB348B" w:rsidP="00BB348B">
      <w:pPr>
        <w:autoSpaceDE w:val="0"/>
        <w:autoSpaceDN w:val="0"/>
        <w:adjustRightInd w:val="0"/>
        <w:spacing w:after="0" w:line="360" w:lineRule="auto"/>
        <w:rPr>
          <w:rFonts w:ascii="Times New Roman" w:hAnsi="Times New Roman"/>
          <w:color w:val="000000"/>
        </w:rPr>
      </w:pPr>
      <w:bookmarkStart w:id="0" w:name="_GoBack"/>
      <w:r>
        <w:rPr>
          <w:rFonts w:ascii="Times New Roman" w:hAnsi="Times New Roman"/>
          <w:color w:val="000000"/>
        </w:rPr>
        <w:t>Supplement fil</w:t>
      </w:r>
      <w:r>
        <w:rPr>
          <w:rFonts w:ascii="Times New Roman" w:hAnsi="Times New Roman"/>
          <w:color w:val="000000"/>
        </w:rPr>
        <w:t>e</w:t>
      </w:r>
    </w:p>
    <w:p w:rsidR="00BB348B" w:rsidRPr="00372D05" w:rsidRDefault="00BB348B" w:rsidP="00BB348B">
      <w:pPr>
        <w:autoSpaceDE w:val="0"/>
        <w:autoSpaceDN w:val="0"/>
        <w:adjustRightInd w:val="0"/>
        <w:spacing w:after="0" w:line="360" w:lineRule="auto"/>
        <w:rPr>
          <w:rFonts w:ascii="Times New Roman" w:hAnsi="Times New Roman"/>
          <w:color w:val="000000"/>
        </w:rPr>
      </w:pPr>
      <w:r w:rsidRPr="00372D05">
        <w:rPr>
          <w:rFonts w:ascii="Times New Roman" w:hAnsi="Times New Roman"/>
          <w:color w:val="000000"/>
        </w:rPr>
        <w:t>Overview of cluster: co-citation analysis</w:t>
      </w:r>
    </w:p>
    <w:tbl>
      <w:tblPr>
        <w:tblW w:w="13049" w:type="dxa"/>
        <w:tblCellSpacing w:w="15" w:type="dxa"/>
        <w:tblBorders>
          <w:top w:val="single" w:sz="6" w:space="0" w:color="auto"/>
          <w:bottom w:val="single" w:sz="6" w:space="0" w:color="auto"/>
        </w:tblBorders>
        <w:tblCellMar>
          <w:top w:w="15" w:type="dxa"/>
          <w:left w:w="15" w:type="dxa"/>
          <w:bottom w:w="15" w:type="dxa"/>
          <w:right w:w="15" w:type="dxa"/>
        </w:tblCellMar>
        <w:tblLook w:val="04A0" w:firstRow="1" w:lastRow="0" w:firstColumn="1" w:lastColumn="0" w:noHBand="0" w:noVBand="1"/>
      </w:tblPr>
      <w:tblGrid>
        <w:gridCol w:w="2845"/>
        <w:gridCol w:w="2880"/>
        <w:gridCol w:w="7324"/>
      </w:tblGrid>
      <w:tr w:rsidR="00BB348B" w:rsidRPr="00372D05" w:rsidTr="003D71D9">
        <w:trPr>
          <w:trHeight w:val="311"/>
          <w:tblHeader/>
          <w:tblCellSpacing w:w="15" w:type="dxa"/>
        </w:trPr>
        <w:tc>
          <w:tcPr>
            <w:tcW w:w="2800" w:type="dxa"/>
            <w:vAlign w:val="center"/>
            <w:hideMark/>
          </w:tcPr>
          <w:p w:rsidR="00BB348B" w:rsidRPr="00372D05" w:rsidRDefault="00BB348B" w:rsidP="003D71D9">
            <w:pPr>
              <w:spacing w:after="0" w:line="360" w:lineRule="auto"/>
              <w:jc w:val="center"/>
              <w:rPr>
                <w:rFonts w:ascii="Times New Roman" w:hAnsi="Times New Roman"/>
                <w:b/>
                <w:bCs/>
              </w:rPr>
            </w:pPr>
            <w:r w:rsidRPr="00372D05">
              <w:rPr>
                <w:rFonts w:ascii="Times New Roman" w:hAnsi="Times New Roman"/>
                <w:b/>
                <w:bCs/>
              </w:rPr>
              <w:t>Cluster</w:t>
            </w:r>
          </w:p>
        </w:tc>
        <w:tc>
          <w:tcPr>
            <w:tcW w:w="2850" w:type="dxa"/>
            <w:vAlign w:val="center"/>
            <w:hideMark/>
          </w:tcPr>
          <w:p w:rsidR="00BB348B" w:rsidRPr="00372D05" w:rsidRDefault="00BB348B" w:rsidP="003D71D9">
            <w:pPr>
              <w:spacing w:after="0" w:line="360" w:lineRule="auto"/>
              <w:jc w:val="center"/>
              <w:rPr>
                <w:rFonts w:ascii="Times New Roman" w:hAnsi="Times New Roman"/>
                <w:b/>
                <w:bCs/>
              </w:rPr>
            </w:pPr>
            <w:r w:rsidRPr="00372D05">
              <w:rPr>
                <w:rFonts w:ascii="Times New Roman" w:hAnsi="Times New Roman"/>
                <w:b/>
                <w:bCs/>
              </w:rPr>
              <w:t>Core top cited Documents</w:t>
            </w:r>
          </w:p>
        </w:tc>
        <w:tc>
          <w:tcPr>
            <w:tcW w:w="7279" w:type="dxa"/>
            <w:vAlign w:val="center"/>
            <w:hideMark/>
          </w:tcPr>
          <w:p w:rsidR="00BB348B" w:rsidRPr="00372D05" w:rsidRDefault="00BB348B" w:rsidP="003D71D9">
            <w:pPr>
              <w:spacing w:after="0" w:line="360" w:lineRule="auto"/>
              <w:jc w:val="center"/>
              <w:rPr>
                <w:rFonts w:ascii="Times New Roman" w:hAnsi="Times New Roman"/>
                <w:b/>
                <w:bCs/>
              </w:rPr>
            </w:pPr>
            <w:r w:rsidRPr="00372D05">
              <w:rPr>
                <w:rFonts w:ascii="Times New Roman" w:hAnsi="Times New Roman"/>
                <w:b/>
                <w:bCs/>
              </w:rPr>
              <w:t>Topic Focus</w:t>
            </w:r>
          </w:p>
        </w:tc>
      </w:tr>
    </w:tbl>
    <w:p w:rsidR="00BB348B" w:rsidRPr="00372D05" w:rsidRDefault="00BB348B" w:rsidP="00BB348B">
      <w:pPr>
        <w:spacing w:after="0" w:line="360" w:lineRule="auto"/>
        <w:rPr>
          <w:rFonts w:ascii="Times New Roman" w:hAnsi="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8"/>
        <w:gridCol w:w="3071"/>
        <w:gridCol w:w="4877"/>
      </w:tblGrid>
      <w:tr w:rsidR="00BB348B" w:rsidRPr="00372D05" w:rsidTr="003D71D9">
        <w:trPr>
          <w:tblCellSpacing w:w="15" w:type="dxa"/>
        </w:trPr>
        <w:tc>
          <w:tcPr>
            <w:tcW w:w="0" w:type="auto"/>
            <w:vAlign w:val="center"/>
            <w:hideMark/>
          </w:tcPr>
          <w:p w:rsidR="00BB348B" w:rsidRPr="00372D05" w:rsidRDefault="00BB348B" w:rsidP="003D71D9">
            <w:pPr>
              <w:spacing w:after="0" w:line="360" w:lineRule="auto"/>
              <w:jc w:val="both"/>
              <w:rPr>
                <w:rFonts w:ascii="Times New Roman" w:hAnsi="Times New Roman"/>
                <w:szCs w:val="20"/>
              </w:rPr>
            </w:pPr>
            <w:r w:rsidRPr="00372D05">
              <w:rPr>
                <w:rFonts w:ascii="Times New Roman" w:hAnsi="Times New Roman"/>
                <w:b/>
                <w:bCs/>
                <w:szCs w:val="20"/>
              </w:rPr>
              <w:t>Cluster 1 (Green): Consumer Behavior and Brand Equity in Green Marketing</w:t>
            </w:r>
          </w:p>
        </w:tc>
        <w:tc>
          <w:tcPr>
            <w:tcW w:w="3898" w:type="dxa"/>
            <w:shd w:val="clear" w:color="auto" w:fill="A6A6A6"/>
            <w:vAlign w:val="center"/>
            <w:hideMark/>
          </w:tcPr>
          <w:p w:rsidR="00BB348B" w:rsidRPr="00372D05" w:rsidRDefault="00BB348B" w:rsidP="003D71D9">
            <w:pPr>
              <w:spacing w:after="0" w:line="360" w:lineRule="auto"/>
              <w:jc w:val="both"/>
              <w:rPr>
                <w:rFonts w:ascii="Times New Roman" w:hAnsi="Times New Roman"/>
                <w:szCs w:val="20"/>
              </w:rPr>
            </w:pPr>
            <w:r w:rsidRPr="00372D05">
              <w:rPr>
                <w:rFonts w:ascii="Times New Roman" w:hAnsi="Times New Roman"/>
                <w:szCs w:val="20"/>
              </w:rPr>
              <w:t>- Martin and Schouten (2012)</w:t>
            </w:r>
          </w:p>
          <w:p w:rsidR="00BB348B" w:rsidRPr="00372D05" w:rsidRDefault="00BB348B" w:rsidP="003D71D9">
            <w:pPr>
              <w:spacing w:after="0" w:line="360" w:lineRule="auto"/>
              <w:jc w:val="both"/>
              <w:rPr>
                <w:rFonts w:ascii="Times New Roman" w:hAnsi="Times New Roman"/>
                <w:szCs w:val="20"/>
              </w:rPr>
            </w:pPr>
            <w:r w:rsidRPr="00372D05">
              <w:rPr>
                <w:rFonts w:ascii="Times New Roman" w:hAnsi="Times New Roman"/>
                <w:szCs w:val="20"/>
              </w:rPr>
              <w:t>- Aaker (1991)</w:t>
            </w:r>
          </w:p>
          <w:p w:rsidR="00BB348B" w:rsidRPr="00372D05" w:rsidRDefault="00BB348B" w:rsidP="003D71D9">
            <w:pPr>
              <w:spacing w:after="0" w:line="360" w:lineRule="auto"/>
              <w:jc w:val="both"/>
              <w:rPr>
                <w:rFonts w:ascii="Times New Roman" w:hAnsi="Times New Roman"/>
                <w:szCs w:val="20"/>
              </w:rPr>
            </w:pPr>
            <w:r w:rsidRPr="00372D05">
              <w:rPr>
                <w:rFonts w:ascii="Times New Roman" w:hAnsi="Times New Roman"/>
                <w:szCs w:val="20"/>
              </w:rPr>
              <w:t xml:space="preserve">- </w:t>
            </w:r>
            <w:proofErr w:type="spellStart"/>
            <w:r w:rsidRPr="00372D05">
              <w:rPr>
                <w:rFonts w:ascii="Times New Roman" w:hAnsi="Times New Roman"/>
                <w:szCs w:val="20"/>
              </w:rPr>
              <w:t>Ailawadi</w:t>
            </w:r>
            <w:proofErr w:type="spellEnd"/>
            <w:r w:rsidRPr="00372D05">
              <w:rPr>
                <w:rFonts w:ascii="Times New Roman" w:hAnsi="Times New Roman"/>
                <w:szCs w:val="20"/>
              </w:rPr>
              <w:t xml:space="preserve"> and Keller (2004)</w:t>
            </w:r>
          </w:p>
        </w:tc>
        <w:tc>
          <w:tcPr>
            <w:tcW w:w="6252" w:type="dxa"/>
            <w:vAlign w:val="center"/>
            <w:hideMark/>
          </w:tcPr>
          <w:p w:rsidR="00BB348B" w:rsidRPr="00372D05" w:rsidRDefault="00BB348B" w:rsidP="003D71D9">
            <w:pPr>
              <w:spacing w:after="0" w:line="360" w:lineRule="auto"/>
              <w:jc w:val="both"/>
              <w:rPr>
                <w:rFonts w:ascii="Times New Roman" w:hAnsi="Times New Roman"/>
                <w:szCs w:val="20"/>
              </w:rPr>
            </w:pPr>
            <w:r w:rsidRPr="00372D05">
              <w:rPr>
                <w:rFonts w:ascii="Times New Roman" w:hAnsi="Times New Roman"/>
                <w:szCs w:val="20"/>
              </w:rPr>
              <w:t>This cluster emphasizes consumer attitudes and behaviors in relation to green marketing, with a particular focus on how brand equity influences consumer loyalty and decision-making. It highlights the importance of integrating sustainability into brand management as a key differentiator in the market.</w:t>
            </w:r>
          </w:p>
        </w:tc>
      </w:tr>
    </w:tbl>
    <w:p w:rsidR="00BB348B" w:rsidRPr="00372D05" w:rsidRDefault="00BB348B" w:rsidP="00BB348B">
      <w:pPr>
        <w:spacing w:after="0" w:line="360" w:lineRule="auto"/>
        <w:jc w:val="both"/>
        <w:rPr>
          <w:rFonts w:ascii="Times New Roman" w:hAnsi="Times New Roman"/>
          <w:vanish/>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23"/>
        <w:gridCol w:w="2625"/>
        <w:gridCol w:w="4278"/>
      </w:tblGrid>
      <w:tr w:rsidR="00BB348B" w:rsidRPr="00372D05" w:rsidTr="003D71D9">
        <w:trPr>
          <w:tblCellSpacing w:w="15" w:type="dxa"/>
        </w:trPr>
        <w:tc>
          <w:tcPr>
            <w:tcW w:w="2779" w:type="dxa"/>
            <w:vAlign w:val="center"/>
            <w:hideMark/>
          </w:tcPr>
          <w:p w:rsidR="00BB348B" w:rsidRPr="00372D05" w:rsidRDefault="00BB348B" w:rsidP="003D71D9">
            <w:pPr>
              <w:spacing w:after="0" w:line="360" w:lineRule="auto"/>
              <w:jc w:val="both"/>
              <w:rPr>
                <w:rFonts w:ascii="Times New Roman" w:hAnsi="Times New Roman"/>
                <w:szCs w:val="20"/>
              </w:rPr>
            </w:pPr>
            <w:r w:rsidRPr="00372D05">
              <w:rPr>
                <w:rFonts w:ascii="Times New Roman" w:hAnsi="Times New Roman"/>
                <w:b/>
                <w:bCs/>
                <w:szCs w:val="20"/>
              </w:rPr>
              <w:t>Cluster 2 (Blue): Sustainable Innovation and Green Marketing</w:t>
            </w:r>
          </w:p>
        </w:tc>
        <w:tc>
          <w:tcPr>
            <w:tcW w:w="3809" w:type="dxa"/>
            <w:vAlign w:val="center"/>
            <w:hideMark/>
          </w:tcPr>
          <w:p w:rsidR="00BB348B" w:rsidRPr="00372D05" w:rsidRDefault="00BB348B" w:rsidP="003D71D9">
            <w:pPr>
              <w:spacing w:after="0" w:line="360" w:lineRule="auto"/>
              <w:jc w:val="both"/>
              <w:rPr>
                <w:rFonts w:ascii="Times New Roman" w:hAnsi="Times New Roman"/>
                <w:szCs w:val="20"/>
                <w:lang w:val="it-IT"/>
              </w:rPr>
            </w:pPr>
            <w:r w:rsidRPr="00372D05">
              <w:rPr>
                <w:rFonts w:ascii="Times New Roman" w:hAnsi="Times New Roman"/>
                <w:szCs w:val="20"/>
              </w:rPr>
              <w:br/>
            </w:r>
            <w:r w:rsidRPr="00372D05">
              <w:rPr>
                <w:rFonts w:ascii="Times New Roman" w:hAnsi="Times New Roman"/>
                <w:szCs w:val="20"/>
                <w:lang w:val="it-IT"/>
              </w:rPr>
              <w:t xml:space="preserve">- </w:t>
            </w:r>
            <w:r w:rsidRPr="00372D05">
              <w:rPr>
                <w:rFonts w:ascii="Times New Roman" w:hAnsi="Times New Roman"/>
                <w:lang w:val="it-IT"/>
              </w:rPr>
              <w:t>Dangelico and Vocalelli (2017)</w:t>
            </w:r>
            <w:r w:rsidRPr="00372D05">
              <w:rPr>
                <w:rFonts w:ascii="Times New Roman" w:hAnsi="Times New Roman"/>
                <w:szCs w:val="20"/>
                <w:lang w:val="it-IT"/>
              </w:rPr>
              <w:br/>
              <w:t xml:space="preserve">- Zhang et al. (2018) </w:t>
            </w:r>
          </w:p>
        </w:tc>
        <w:tc>
          <w:tcPr>
            <w:tcW w:w="6252" w:type="dxa"/>
            <w:vAlign w:val="center"/>
            <w:hideMark/>
          </w:tcPr>
          <w:p w:rsidR="00BB348B" w:rsidRPr="00372D05" w:rsidRDefault="00BB348B" w:rsidP="003D71D9">
            <w:pPr>
              <w:spacing w:after="0" w:line="360" w:lineRule="auto"/>
              <w:jc w:val="both"/>
              <w:rPr>
                <w:rFonts w:ascii="Times New Roman" w:hAnsi="Times New Roman"/>
                <w:szCs w:val="20"/>
              </w:rPr>
            </w:pPr>
            <w:r w:rsidRPr="00372D05">
              <w:rPr>
                <w:rFonts w:ascii="Times New Roman" w:hAnsi="Times New Roman"/>
                <w:szCs w:val="20"/>
              </w:rPr>
              <w:t>This cluster focuses on the role of innovation in driving green marketing practices. It examines how companies develop and implement sustainable innovations as part of their marketing strategies, reflecting a shift toward more environmentally conscious business models.</w:t>
            </w:r>
          </w:p>
        </w:tc>
      </w:tr>
    </w:tbl>
    <w:p w:rsidR="00BB348B" w:rsidRPr="00372D05" w:rsidRDefault="00BB348B" w:rsidP="00BB348B">
      <w:pPr>
        <w:spacing w:after="0" w:line="360" w:lineRule="auto"/>
        <w:jc w:val="both"/>
        <w:rPr>
          <w:rFonts w:ascii="Times New Roman" w:hAnsi="Times New Roman"/>
          <w:vanish/>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72"/>
        <w:gridCol w:w="2950"/>
        <w:gridCol w:w="4704"/>
      </w:tblGrid>
      <w:tr w:rsidR="00BB348B" w:rsidRPr="00372D05" w:rsidTr="003D71D9">
        <w:trPr>
          <w:tblCellSpacing w:w="15" w:type="dxa"/>
        </w:trPr>
        <w:tc>
          <w:tcPr>
            <w:tcW w:w="0" w:type="auto"/>
            <w:vAlign w:val="center"/>
            <w:hideMark/>
          </w:tcPr>
          <w:p w:rsidR="00BB348B" w:rsidRPr="00372D05" w:rsidRDefault="00BB348B" w:rsidP="003D71D9">
            <w:pPr>
              <w:spacing w:after="0" w:line="360" w:lineRule="auto"/>
              <w:jc w:val="both"/>
              <w:rPr>
                <w:rFonts w:ascii="Times New Roman" w:hAnsi="Times New Roman"/>
                <w:szCs w:val="20"/>
              </w:rPr>
            </w:pPr>
            <w:r w:rsidRPr="00372D05">
              <w:rPr>
                <w:rFonts w:ascii="Times New Roman" w:hAnsi="Times New Roman"/>
                <w:b/>
                <w:bCs/>
                <w:szCs w:val="20"/>
              </w:rPr>
              <w:t>Cluster 3 (Red): Consumer Behavior and Sustainability Practices</w:t>
            </w:r>
          </w:p>
        </w:tc>
        <w:tc>
          <w:tcPr>
            <w:tcW w:w="3821" w:type="dxa"/>
            <w:shd w:val="clear" w:color="auto" w:fill="A6A6A6"/>
            <w:vAlign w:val="center"/>
            <w:hideMark/>
          </w:tcPr>
          <w:p w:rsidR="00BB348B" w:rsidRPr="00372D05" w:rsidRDefault="00BB348B" w:rsidP="003D71D9">
            <w:pPr>
              <w:spacing w:after="0" w:line="360" w:lineRule="auto"/>
              <w:jc w:val="both"/>
              <w:rPr>
                <w:rFonts w:ascii="Times New Roman" w:hAnsi="Times New Roman"/>
                <w:szCs w:val="20"/>
              </w:rPr>
            </w:pPr>
            <w:r w:rsidRPr="00372D05">
              <w:rPr>
                <w:rFonts w:ascii="Times New Roman" w:hAnsi="Times New Roman"/>
                <w:szCs w:val="20"/>
                <w:lang w:val="fr-FR"/>
              </w:rPr>
              <w:t>- Laroche et al. (2001)</w:t>
            </w:r>
            <w:r w:rsidRPr="00372D05">
              <w:rPr>
                <w:rFonts w:ascii="Times New Roman" w:hAnsi="Times New Roman"/>
                <w:szCs w:val="20"/>
                <w:lang w:val="fr-FR"/>
              </w:rPr>
              <w:br/>
              <w:t xml:space="preserve">- Do Paco et al. </w:t>
            </w:r>
            <w:r w:rsidRPr="00372D05">
              <w:rPr>
                <w:rFonts w:ascii="Times New Roman" w:hAnsi="Times New Roman"/>
                <w:szCs w:val="20"/>
              </w:rPr>
              <w:t>(2020)</w:t>
            </w:r>
            <w:r w:rsidRPr="00372D05">
              <w:rPr>
                <w:rFonts w:ascii="Times New Roman" w:hAnsi="Times New Roman"/>
                <w:szCs w:val="20"/>
              </w:rPr>
              <w:br/>
              <w:t xml:space="preserve">- </w:t>
            </w:r>
            <w:proofErr w:type="spellStart"/>
            <w:r w:rsidRPr="00372D05">
              <w:rPr>
                <w:rFonts w:ascii="Times New Roman" w:hAnsi="Times New Roman"/>
                <w:szCs w:val="20"/>
              </w:rPr>
              <w:t>Schuhwerk</w:t>
            </w:r>
            <w:proofErr w:type="spellEnd"/>
            <w:r w:rsidRPr="00372D05">
              <w:rPr>
                <w:rFonts w:ascii="Times New Roman" w:hAnsi="Times New Roman"/>
                <w:szCs w:val="20"/>
              </w:rPr>
              <w:t xml:space="preserve"> et al. (1995)</w:t>
            </w:r>
          </w:p>
        </w:tc>
        <w:tc>
          <w:tcPr>
            <w:tcW w:w="6252" w:type="dxa"/>
            <w:vAlign w:val="center"/>
            <w:hideMark/>
          </w:tcPr>
          <w:p w:rsidR="00BB348B" w:rsidRPr="00372D05" w:rsidRDefault="00BB348B" w:rsidP="003D71D9">
            <w:pPr>
              <w:spacing w:after="0" w:line="360" w:lineRule="auto"/>
              <w:jc w:val="both"/>
              <w:rPr>
                <w:rFonts w:ascii="Times New Roman" w:hAnsi="Times New Roman"/>
                <w:szCs w:val="20"/>
              </w:rPr>
            </w:pPr>
            <w:r w:rsidRPr="00372D05">
              <w:rPr>
                <w:rFonts w:ascii="Times New Roman" w:hAnsi="Times New Roman"/>
                <w:szCs w:val="20"/>
              </w:rPr>
              <w:t>This cluster delves into consumers' specific behaviors and practices regarding sustainability. It explores how environmental concerns influence consumer choices and how these choices drive the adoption of green marketing practices.</w:t>
            </w:r>
          </w:p>
        </w:tc>
      </w:tr>
    </w:tbl>
    <w:p w:rsidR="00BB348B" w:rsidRPr="00372D05" w:rsidRDefault="00BB348B" w:rsidP="00BB348B">
      <w:pPr>
        <w:spacing w:after="0" w:line="360" w:lineRule="auto"/>
        <w:jc w:val="both"/>
        <w:rPr>
          <w:rFonts w:ascii="Times New Roman" w:hAnsi="Times New Roman"/>
          <w:vanish/>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5"/>
        <w:gridCol w:w="2539"/>
        <w:gridCol w:w="4222"/>
      </w:tblGrid>
      <w:tr w:rsidR="00BB348B" w:rsidRPr="00372D05" w:rsidTr="003D71D9">
        <w:trPr>
          <w:tblCellSpacing w:w="15" w:type="dxa"/>
        </w:trPr>
        <w:tc>
          <w:tcPr>
            <w:tcW w:w="2871" w:type="dxa"/>
            <w:vAlign w:val="center"/>
            <w:hideMark/>
          </w:tcPr>
          <w:p w:rsidR="00BB348B" w:rsidRPr="00372D05" w:rsidRDefault="00BB348B" w:rsidP="003D71D9">
            <w:pPr>
              <w:spacing w:after="0" w:line="360" w:lineRule="auto"/>
              <w:jc w:val="both"/>
              <w:rPr>
                <w:rFonts w:ascii="Times New Roman" w:hAnsi="Times New Roman"/>
                <w:szCs w:val="20"/>
              </w:rPr>
            </w:pPr>
            <w:r w:rsidRPr="00372D05">
              <w:rPr>
                <w:rFonts w:ascii="Times New Roman" w:hAnsi="Times New Roman"/>
                <w:b/>
                <w:bCs/>
                <w:szCs w:val="20"/>
              </w:rPr>
              <w:t>Cluster 4 (Yellow): Measurement and Evaluation in Sustainable Marketing</w:t>
            </w:r>
          </w:p>
        </w:tc>
        <w:tc>
          <w:tcPr>
            <w:tcW w:w="3717" w:type="dxa"/>
            <w:vAlign w:val="center"/>
            <w:hideMark/>
          </w:tcPr>
          <w:p w:rsidR="00BB348B" w:rsidRPr="00372D05" w:rsidRDefault="00BB348B" w:rsidP="003D71D9">
            <w:pPr>
              <w:spacing w:after="0" w:line="360" w:lineRule="auto"/>
              <w:jc w:val="both"/>
              <w:rPr>
                <w:rFonts w:ascii="Times New Roman" w:hAnsi="Times New Roman"/>
                <w:szCs w:val="20"/>
              </w:rPr>
            </w:pPr>
            <w:r w:rsidRPr="00372D05">
              <w:rPr>
                <w:rFonts w:ascii="Times New Roman" w:hAnsi="Times New Roman"/>
                <w:szCs w:val="20"/>
              </w:rPr>
              <w:t xml:space="preserve">- </w:t>
            </w:r>
            <w:proofErr w:type="spellStart"/>
            <w:r w:rsidRPr="00372D05">
              <w:rPr>
                <w:rFonts w:ascii="Times New Roman" w:hAnsi="Times New Roman"/>
                <w:szCs w:val="20"/>
              </w:rPr>
              <w:t>Fornell</w:t>
            </w:r>
            <w:proofErr w:type="spellEnd"/>
            <w:r w:rsidRPr="00372D05">
              <w:rPr>
                <w:rFonts w:ascii="Times New Roman" w:hAnsi="Times New Roman"/>
                <w:szCs w:val="20"/>
              </w:rPr>
              <w:t xml:space="preserve"> and </w:t>
            </w:r>
            <w:proofErr w:type="spellStart"/>
            <w:r w:rsidRPr="00372D05">
              <w:rPr>
                <w:rFonts w:ascii="Times New Roman" w:hAnsi="Times New Roman"/>
                <w:szCs w:val="20"/>
              </w:rPr>
              <w:t>Larcker</w:t>
            </w:r>
            <w:proofErr w:type="spellEnd"/>
            <w:r w:rsidRPr="00372D05">
              <w:rPr>
                <w:rFonts w:ascii="Times New Roman" w:hAnsi="Times New Roman"/>
                <w:szCs w:val="20"/>
              </w:rPr>
              <w:t xml:space="preserve"> (1981) </w:t>
            </w:r>
          </w:p>
          <w:p w:rsidR="00BB348B" w:rsidRPr="00372D05" w:rsidRDefault="00BB348B" w:rsidP="003D71D9">
            <w:pPr>
              <w:spacing w:after="0" w:line="360" w:lineRule="auto"/>
              <w:jc w:val="both"/>
              <w:rPr>
                <w:rFonts w:ascii="Times New Roman" w:hAnsi="Times New Roman"/>
                <w:szCs w:val="20"/>
              </w:rPr>
            </w:pPr>
            <w:r w:rsidRPr="00372D05">
              <w:rPr>
                <w:rFonts w:ascii="Times New Roman" w:hAnsi="Times New Roman"/>
                <w:szCs w:val="20"/>
              </w:rPr>
              <w:t xml:space="preserve">- </w:t>
            </w:r>
            <w:proofErr w:type="spellStart"/>
            <w:r w:rsidRPr="00372D05">
              <w:rPr>
                <w:rFonts w:ascii="Times New Roman" w:hAnsi="Times New Roman"/>
                <w:szCs w:val="20"/>
              </w:rPr>
              <w:t>Nunnally</w:t>
            </w:r>
            <w:proofErr w:type="spellEnd"/>
            <w:r w:rsidRPr="00372D05">
              <w:rPr>
                <w:rFonts w:ascii="Times New Roman" w:hAnsi="Times New Roman"/>
                <w:szCs w:val="20"/>
              </w:rPr>
              <w:t xml:space="preserve"> (1978) </w:t>
            </w:r>
            <w:r w:rsidRPr="00372D05">
              <w:rPr>
                <w:rFonts w:ascii="Times New Roman" w:hAnsi="Times New Roman"/>
                <w:szCs w:val="20"/>
              </w:rPr>
              <w:br/>
              <w:t>- Fuller (1999)</w:t>
            </w:r>
          </w:p>
          <w:p w:rsidR="00BB348B" w:rsidRPr="00372D05" w:rsidRDefault="00BB348B" w:rsidP="003D71D9">
            <w:pPr>
              <w:spacing w:after="0" w:line="360" w:lineRule="auto"/>
              <w:jc w:val="both"/>
              <w:rPr>
                <w:rFonts w:ascii="Times New Roman" w:hAnsi="Times New Roman"/>
                <w:szCs w:val="20"/>
              </w:rPr>
            </w:pPr>
            <w:r w:rsidRPr="00372D05">
              <w:rPr>
                <w:rFonts w:ascii="Times New Roman" w:hAnsi="Times New Roman"/>
                <w:szCs w:val="20"/>
              </w:rPr>
              <w:t>- Peattie K. and Crane A. (2005)</w:t>
            </w:r>
          </w:p>
          <w:p w:rsidR="00BB348B" w:rsidRPr="00372D05" w:rsidRDefault="00BB348B" w:rsidP="003D71D9">
            <w:pPr>
              <w:spacing w:after="0" w:line="360" w:lineRule="auto"/>
              <w:jc w:val="both"/>
              <w:rPr>
                <w:rFonts w:ascii="Times New Roman" w:hAnsi="Times New Roman"/>
                <w:szCs w:val="20"/>
              </w:rPr>
            </w:pPr>
          </w:p>
        </w:tc>
        <w:tc>
          <w:tcPr>
            <w:tcW w:w="6252" w:type="dxa"/>
            <w:vAlign w:val="center"/>
            <w:hideMark/>
          </w:tcPr>
          <w:p w:rsidR="00BB348B" w:rsidRPr="00372D05" w:rsidRDefault="00BB348B" w:rsidP="003D71D9">
            <w:pPr>
              <w:spacing w:after="0" w:line="360" w:lineRule="auto"/>
              <w:jc w:val="both"/>
              <w:rPr>
                <w:rFonts w:ascii="Times New Roman" w:hAnsi="Times New Roman"/>
                <w:szCs w:val="20"/>
              </w:rPr>
            </w:pPr>
            <w:r w:rsidRPr="00372D05">
              <w:rPr>
                <w:rFonts w:ascii="Times New Roman" w:hAnsi="Times New Roman"/>
                <w:szCs w:val="20"/>
              </w:rPr>
              <w:t>This cluster is dedicated to the methodologies and tools used to assess the effectiveness of sustainable marketing strategies. It focuses on measurement models, psychometric assessments, and the evaluation of marketing performance from a sustainability perspective.</w:t>
            </w:r>
          </w:p>
        </w:tc>
      </w:tr>
    </w:tbl>
    <w:p w:rsidR="00BB348B" w:rsidRPr="00372D05" w:rsidRDefault="00BB348B" w:rsidP="00BB348B">
      <w:pPr>
        <w:spacing w:after="0" w:line="360" w:lineRule="auto"/>
        <w:jc w:val="both"/>
        <w:rPr>
          <w:rFonts w:ascii="Times New Roman" w:hAnsi="Times New Roman"/>
          <w:vanish/>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75"/>
        <w:gridCol w:w="2497"/>
        <w:gridCol w:w="4254"/>
      </w:tblGrid>
      <w:tr w:rsidR="00BB348B" w:rsidRPr="00372D05" w:rsidTr="003D71D9">
        <w:trPr>
          <w:tblCellSpacing w:w="15" w:type="dxa"/>
        </w:trPr>
        <w:tc>
          <w:tcPr>
            <w:tcW w:w="2872" w:type="dxa"/>
            <w:vAlign w:val="center"/>
            <w:hideMark/>
          </w:tcPr>
          <w:p w:rsidR="00BB348B" w:rsidRPr="00372D05" w:rsidRDefault="00BB348B" w:rsidP="003D71D9">
            <w:pPr>
              <w:spacing w:after="0" w:line="360" w:lineRule="auto"/>
              <w:jc w:val="both"/>
              <w:rPr>
                <w:rFonts w:ascii="Times New Roman" w:hAnsi="Times New Roman"/>
                <w:szCs w:val="20"/>
              </w:rPr>
            </w:pPr>
            <w:r w:rsidRPr="00372D05">
              <w:rPr>
                <w:rFonts w:ascii="Times New Roman" w:hAnsi="Times New Roman"/>
                <w:b/>
                <w:bCs/>
                <w:szCs w:val="20"/>
              </w:rPr>
              <w:t>Cluster 5 (Purple): Green Marketing and Corporate Social Responsibility</w:t>
            </w:r>
          </w:p>
        </w:tc>
        <w:tc>
          <w:tcPr>
            <w:tcW w:w="3574" w:type="dxa"/>
            <w:shd w:val="clear" w:color="auto" w:fill="A6A6A6"/>
            <w:vAlign w:val="center"/>
            <w:hideMark/>
          </w:tcPr>
          <w:p w:rsidR="00BB348B" w:rsidRPr="00372D05" w:rsidRDefault="00BB348B" w:rsidP="003D71D9">
            <w:pPr>
              <w:spacing w:after="0" w:line="360" w:lineRule="auto"/>
              <w:jc w:val="both"/>
              <w:rPr>
                <w:rFonts w:ascii="Times New Roman" w:hAnsi="Times New Roman"/>
                <w:szCs w:val="20"/>
              </w:rPr>
            </w:pPr>
            <w:r w:rsidRPr="00372D05">
              <w:rPr>
                <w:rFonts w:ascii="Times New Roman" w:hAnsi="Times New Roman"/>
                <w:szCs w:val="20"/>
              </w:rPr>
              <w:t>- Peattie K. and Crane A. (2005)</w:t>
            </w:r>
          </w:p>
          <w:p w:rsidR="00BB348B" w:rsidRPr="00372D05" w:rsidRDefault="00BB348B" w:rsidP="003D71D9">
            <w:pPr>
              <w:spacing w:after="0" w:line="360" w:lineRule="auto"/>
              <w:jc w:val="both"/>
              <w:rPr>
                <w:rFonts w:ascii="Times New Roman" w:hAnsi="Times New Roman"/>
                <w:szCs w:val="20"/>
                <w:lang w:val="fr-FR"/>
              </w:rPr>
            </w:pPr>
            <w:r w:rsidRPr="00372D05">
              <w:rPr>
                <w:rFonts w:ascii="Times New Roman" w:hAnsi="Times New Roman"/>
                <w:szCs w:val="20"/>
                <w:lang w:val="fr-FR"/>
              </w:rPr>
              <w:t xml:space="preserve">- Jain et al. (2004) </w:t>
            </w:r>
            <w:r w:rsidRPr="00372D05">
              <w:rPr>
                <w:rFonts w:ascii="Times New Roman" w:hAnsi="Times New Roman"/>
                <w:szCs w:val="20"/>
                <w:lang w:val="fr-FR"/>
              </w:rPr>
              <w:br/>
              <w:t xml:space="preserve">- </w:t>
            </w:r>
            <w:proofErr w:type="spellStart"/>
            <w:r w:rsidRPr="00372D05">
              <w:rPr>
                <w:rFonts w:ascii="Times New Roman" w:hAnsi="Times New Roman"/>
                <w:szCs w:val="20"/>
                <w:lang w:val="fr-FR"/>
              </w:rPr>
              <w:t>Manaktola</w:t>
            </w:r>
            <w:proofErr w:type="spellEnd"/>
            <w:r w:rsidRPr="00372D05">
              <w:rPr>
                <w:rFonts w:ascii="Times New Roman" w:hAnsi="Times New Roman"/>
                <w:szCs w:val="20"/>
                <w:lang w:val="fr-FR"/>
              </w:rPr>
              <w:t xml:space="preserve"> and </w:t>
            </w:r>
            <w:proofErr w:type="spellStart"/>
            <w:r w:rsidRPr="00372D05">
              <w:rPr>
                <w:rFonts w:ascii="Times New Roman" w:hAnsi="Times New Roman"/>
                <w:szCs w:val="20"/>
                <w:lang w:val="fr-FR"/>
              </w:rPr>
              <w:t>Jauhari</w:t>
            </w:r>
            <w:proofErr w:type="spellEnd"/>
            <w:r w:rsidRPr="00372D05">
              <w:rPr>
                <w:rFonts w:ascii="Times New Roman" w:hAnsi="Times New Roman"/>
                <w:szCs w:val="20"/>
                <w:lang w:val="fr-FR"/>
              </w:rPr>
              <w:t xml:space="preserve"> (2007)</w:t>
            </w:r>
          </w:p>
        </w:tc>
        <w:tc>
          <w:tcPr>
            <w:tcW w:w="6394" w:type="dxa"/>
            <w:vAlign w:val="center"/>
            <w:hideMark/>
          </w:tcPr>
          <w:p w:rsidR="00BB348B" w:rsidRPr="00372D05" w:rsidRDefault="00BB348B" w:rsidP="003D71D9">
            <w:pPr>
              <w:spacing w:after="0" w:line="360" w:lineRule="auto"/>
              <w:jc w:val="both"/>
              <w:rPr>
                <w:rFonts w:ascii="Times New Roman" w:hAnsi="Times New Roman"/>
                <w:szCs w:val="20"/>
              </w:rPr>
            </w:pPr>
            <w:r w:rsidRPr="00372D05">
              <w:rPr>
                <w:rFonts w:ascii="Times New Roman" w:hAnsi="Times New Roman"/>
                <w:szCs w:val="20"/>
              </w:rPr>
              <w:t xml:space="preserve">This cluster examines the intersection of green marketing and corporate social responsibility (CSR). It discusses how companies integrate CSR into their marketing strategies to enhance </w:t>
            </w:r>
            <w:r w:rsidRPr="00372D05">
              <w:rPr>
                <w:rFonts w:ascii="Times New Roman" w:hAnsi="Times New Roman"/>
                <w:szCs w:val="20"/>
              </w:rPr>
              <w:lastRenderedPageBreak/>
              <w:t>brand reputation and engage with consumers who value sustainability.</w:t>
            </w:r>
          </w:p>
        </w:tc>
      </w:tr>
    </w:tbl>
    <w:p w:rsidR="00BB348B" w:rsidRPr="00372D05" w:rsidRDefault="00BB348B" w:rsidP="00BB348B">
      <w:pPr>
        <w:pBdr>
          <w:bottom w:val="single" w:sz="4" w:space="1" w:color="auto"/>
        </w:pBdr>
        <w:autoSpaceDE w:val="0"/>
        <w:autoSpaceDN w:val="0"/>
        <w:adjustRightInd w:val="0"/>
        <w:spacing w:after="0" w:line="360" w:lineRule="auto"/>
        <w:rPr>
          <w:rFonts w:ascii="Times New Roman" w:hAnsi="Times New Roman"/>
          <w:color w:val="000000"/>
        </w:rPr>
      </w:pPr>
    </w:p>
    <w:p w:rsidR="00BB348B" w:rsidRPr="00372D05" w:rsidRDefault="00BB348B" w:rsidP="00BB348B">
      <w:pPr>
        <w:autoSpaceDE w:val="0"/>
        <w:autoSpaceDN w:val="0"/>
        <w:adjustRightInd w:val="0"/>
        <w:spacing w:after="0" w:line="360" w:lineRule="auto"/>
        <w:rPr>
          <w:rFonts w:ascii="Times New Roman" w:hAnsi="Times New Roman"/>
          <w:color w:val="000000"/>
        </w:rPr>
      </w:pPr>
      <w:r w:rsidRPr="00372D05">
        <w:rPr>
          <w:rFonts w:ascii="Times New Roman" w:hAnsi="Times New Roman"/>
          <w:color w:val="000000"/>
        </w:rPr>
        <w:t>Note on references</w:t>
      </w:r>
    </w:p>
    <w:p w:rsidR="00BB348B" w:rsidRPr="00372D05" w:rsidRDefault="00BB348B" w:rsidP="00BB348B">
      <w:pPr>
        <w:autoSpaceDE w:val="0"/>
        <w:autoSpaceDN w:val="0"/>
        <w:adjustRightInd w:val="0"/>
        <w:spacing w:after="0" w:line="360" w:lineRule="auto"/>
        <w:rPr>
          <w:rFonts w:ascii="Times New Roman" w:hAnsi="Times New Roman"/>
          <w:color w:val="000000"/>
        </w:rPr>
      </w:pPr>
    </w:p>
    <w:p w:rsidR="00BB348B" w:rsidRPr="00372D05" w:rsidRDefault="00BB348B" w:rsidP="00BB348B">
      <w:pPr>
        <w:autoSpaceDE w:val="0"/>
        <w:autoSpaceDN w:val="0"/>
        <w:adjustRightInd w:val="0"/>
        <w:spacing w:after="0" w:line="360" w:lineRule="auto"/>
        <w:rPr>
          <w:rFonts w:ascii="Times New Roman" w:hAnsi="Times New Roman"/>
          <w:color w:val="000000"/>
          <w:sz w:val="20"/>
          <w:szCs w:val="20"/>
        </w:rPr>
      </w:pPr>
      <w:r w:rsidRPr="00372D05">
        <w:rPr>
          <w:rFonts w:ascii="Times New Roman" w:hAnsi="Times New Roman"/>
          <w:b/>
          <w:bCs/>
          <w:color w:val="000000"/>
          <w:sz w:val="20"/>
          <w:szCs w:val="20"/>
        </w:rPr>
        <w:t>Cluster 1</w:t>
      </w:r>
    </w:p>
    <w:p w:rsidR="00BB348B" w:rsidRPr="00372D05" w:rsidRDefault="00BB348B" w:rsidP="00BB348B">
      <w:pPr>
        <w:numPr>
          <w:ilvl w:val="0"/>
          <w:numId w:val="1"/>
        </w:numPr>
        <w:autoSpaceDE w:val="0"/>
        <w:autoSpaceDN w:val="0"/>
        <w:adjustRightInd w:val="0"/>
        <w:spacing w:after="0" w:line="360" w:lineRule="auto"/>
        <w:rPr>
          <w:rFonts w:ascii="Times New Roman" w:hAnsi="Times New Roman"/>
          <w:color w:val="000000"/>
          <w:sz w:val="20"/>
          <w:szCs w:val="20"/>
        </w:rPr>
      </w:pPr>
      <w:r w:rsidRPr="00372D05">
        <w:rPr>
          <w:rFonts w:ascii="Times New Roman" w:hAnsi="Times New Roman"/>
          <w:color w:val="000000"/>
          <w:sz w:val="20"/>
          <w:szCs w:val="20"/>
        </w:rPr>
        <w:t>Aaker, D.A. (1991), </w:t>
      </w:r>
      <w:r w:rsidRPr="00372D05">
        <w:rPr>
          <w:rFonts w:ascii="Times New Roman" w:hAnsi="Times New Roman"/>
          <w:i/>
          <w:iCs/>
          <w:color w:val="000000"/>
          <w:sz w:val="20"/>
          <w:szCs w:val="20"/>
        </w:rPr>
        <w:t>Managing Brand Equity: Capitalizing on the Value of a Brand Name</w:t>
      </w:r>
      <w:r w:rsidRPr="00372D05">
        <w:rPr>
          <w:rFonts w:ascii="Times New Roman" w:hAnsi="Times New Roman"/>
          <w:color w:val="000000"/>
          <w:sz w:val="20"/>
          <w:szCs w:val="20"/>
        </w:rPr>
        <w:t>, Free Press.</w:t>
      </w:r>
    </w:p>
    <w:p w:rsidR="00BB348B" w:rsidRPr="00372D05" w:rsidRDefault="00BB348B" w:rsidP="00BB348B">
      <w:pPr>
        <w:numPr>
          <w:ilvl w:val="0"/>
          <w:numId w:val="1"/>
        </w:numPr>
        <w:autoSpaceDE w:val="0"/>
        <w:autoSpaceDN w:val="0"/>
        <w:adjustRightInd w:val="0"/>
        <w:spacing w:after="0" w:line="360" w:lineRule="auto"/>
        <w:rPr>
          <w:rFonts w:ascii="Times New Roman" w:hAnsi="Times New Roman"/>
          <w:color w:val="000000"/>
          <w:sz w:val="20"/>
          <w:szCs w:val="20"/>
        </w:rPr>
      </w:pPr>
      <w:r w:rsidRPr="00372D05">
        <w:rPr>
          <w:rFonts w:ascii="Times New Roman" w:hAnsi="Times New Roman"/>
          <w:color w:val="000000"/>
          <w:sz w:val="20"/>
          <w:szCs w:val="20"/>
        </w:rPr>
        <w:t>Martin, D. and Schouten, J. (2012), </w:t>
      </w:r>
      <w:r w:rsidRPr="00372D05">
        <w:rPr>
          <w:rFonts w:ascii="Times New Roman" w:hAnsi="Times New Roman"/>
          <w:i/>
          <w:iCs/>
          <w:color w:val="000000"/>
          <w:sz w:val="20"/>
          <w:szCs w:val="20"/>
        </w:rPr>
        <w:t>Sustainable Marketing</w:t>
      </w:r>
      <w:r w:rsidRPr="00372D05">
        <w:rPr>
          <w:rFonts w:ascii="Times New Roman" w:hAnsi="Times New Roman"/>
          <w:color w:val="000000"/>
          <w:sz w:val="20"/>
          <w:szCs w:val="20"/>
        </w:rPr>
        <w:t>, Pearson.</w:t>
      </w:r>
    </w:p>
    <w:p w:rsidR="00BB348B" w:rsidRPr="00372D05" w:rsidRDefault="00BB348B" w:rsidP="00BB348B">
      <w:pPr>
        <w:numPr>
          <w:ilvl w:val="0"/>
          <w:numId w:val="1"/>
        </w:numPr>
        <w:autoSpaceDE w:val="0"/>
        <w:autoSpaceDN w:val="0"/>
        <w:adjustRightInd w:val="0"/>
        <w:spacing w:after="0" w:line="360" w:lineRule="auto"/>
        <w:rPr>
          <w:rFonts w:ascii="Times New Roman" w:hAnsi="Times New Roman"/>
          <w:color w:val="000000"/>
          <w:sz w:val="20"/>
          <w:szCs w:val="20"/>
        </w:rPr>
      </w:pPr>
      <w:proofErr w:type="spellStart"/>
      <w:r w:rsidRPr="00372D05">
        <w:rPr>
          <w:rFonts w:ascii="Times New Roman" w:hAnsi="Times New Roman"/>
          <w:color w:val="000000"/>
          <w:sz w:val="20"/>
          <w:szCs w:val="20"/>
        </w:rPr>
        <w:t>Ailawadi</w:t>
      </w:r>
      <w:proofErr w:type="spellEnd"/>
      <w:r w:rsidRPr="00372D05">
        <w:rPr>
          <w:rFonts w:ascii="Times New Roman" w:hAnsi="Times New Roman"/>
          <w:color w:val="000000"/>
          <w:sz w:val="20"/>
          <w:szCs w:val="20"/>
        </w:rPr>
        <w:t>, K.L. and Keller, K.L. (2004), “Understanding retail branding: Conceptual insights and research priorities”, </w:t>
      </w:r>
      <w:r w:rsidRPr="00372D05">
        <w:rPr>
          <w:rFonts w:ascii="Times New Roman" w:hAnsi="Times New Roman"/>
          <w:i/>
          <w:iCs/>
          <w:color w:val="000000"/>
          <w:sz w:val="20"/>
          <w:szCs w:val="20"/>
        </w:rPr>
        <w:t>Journal of Retailing</w:t>
      </w:r>
      <w:r w:rsidRPr="00372D05">
        <w:rPr>
          <w:rFonts w:ascii="Times New Roman" w:hAnsi="Times New Roman"/>
          <w:color w:val="000000"/>
          <w:sz w:val="20"/>
          <w:szCs w:val="20"/>
        </w:rPr>
        <w:t>, Vol. 80 No. 4, pp. 331-342. https://doi.org/10.1016/j.jretai.2004.10.008</w:t>
      </w:r>
    </w:p>
    <w:p w:rsidR="00BB348B" w:rsidRPr="00372D05" w:rsidRDefault="00BB348B" w:rsidP="00BB348B">
      <w:pPr>
        <w:autoSpaceDE w:val="0"/>
        <w:autoSpaceDN w:val="0"/>
        <w:adjustRightInd w:val="0"/>
        <w:spacing w:after="0" w:line="360" w:lineRule="auto"/>
        <w:rPr>
          <w:rFonts w:ascii="Times New Roman" w:hAnsi="Times New Roman"/>
          <w:color w:val="000000"/>
          <w:sz w:val="20"/>
          <w:szCs w:val="20"/>
        </w:rPr>
      </w:pPr>
      <w:r w:rsidRPr="00372D05">
        <w:rPr>
          <w:rFonts w:ascii="Times New Roman" w:hAnsi="Times New Roman"/>
          <w:b/>
          <w:bCs/>
          <w:color w:val="000000"/>
          <w:sz w:val="20"/>
          <w:szCs w:val="20"/>
        </w:rPr>
        <w:t>Cluster 2</w:t>
      </w:r>
    </w:p>
    <w:p w:rsidR="00BB348B" w:rsidRPr="00372D05" w:rsidRDefault="00BB348B" w:rsidP="00BB348B">
      <w:pPr>
        <w:numPr>
          <w:ilvl w:val="0"/>
          <w:numId w:val="2"/>
        </w:numPr>
        <w:autoSpaceDE w:val="0"/>
        <w:autoSpaceDN w:val="0"/>
        <w:adjustRightInd w:val="0"/>
        <w:spacing w:after="0" w:line="360" w:lineRule="auto"/>
        <w:rPr>
          <w:rFonts w:ascii="Times New Roman" w:hAnsi="Times New Roman"/>
          <w:color w:val="000000"/>
          <w:sz w:val="20"/>
          <w:szCs w:val="20"/>
        </w:rPr>
      </w:pPr>
      <w:proofErr w:type="spellStart"/>
      <w:r w:rsidRPr="00372D05">
        <w:rPr>
          <w:rFonts w:ascii="Times New Roman" w:hAnsi="Times New Roman"/>
          <w:color w:val="000000"/>
          <w:sz w:val="20"/>
          <w:szCs w:val="20"/>
        </w:rPr>
        <w:t>Dangelico</w:t>
      </w:r>
      <w:proofErr w:type="spellEnd"/>
      <w:r w:rsidRPr="00372D05">
        <w:rPr>
          <w:rFonts w:ascii="Times New Roman" w:hAnsi="Times New Roman"/>
          <w:color w:val="000000"/>
          <w:sz w:val="20"/>
          <w:szCs w:val="20"/>
        </w:rPr>
        <w:t>, R.M. and Pujari, D. (2010), “Mainstreaming green product innovation: Why and how companies integrate environmental sustainability”, </w:t>
      </w:r>
      <w:r w:rsidRPr="00372D05">
        <w:rPr>
          <w:rFonts w:ascii="Times New Roman" w:hAnsi="Times New Roman"/>
          <w:i/>
          <w:iCs/>
          <w:color w:val="000000"/>
          <w:sz w:val="20"/>
          <w:szCs w:val="20"/>
        </w:rPr>
        <w:t>Journal of Business Ethics</w:t>
      </w:r>
      <w:r w:rsidRPr="00372D05">
        <w:rPr>
          <w:rFonts w:ascii="Times New Roman" w:hAnsi="Times New Roman"/>
          <w:color w:val="000000"/>
          <w:sz w:val="20"/>
          <w:szCs w:val="20"/>
        </w:rPr>
        <w:t>, Vol. 95 No. 3, pp. 471-486. https://doi.org/10.1007/s10551-010-0434-0</w:t>
      </w:r>
    </w:p>
    <w:p w:rsidR="00BB348B" w:rsidRPr="00372D05" w:rsidRDefault="00BB348B" w:rsidP="00BB348B">
      <w:pPr>
        <w:numPr>
          <w:ilvl w:val="0"/>
          <w:numId w:val="2"/>
        </w:numPr>
        <w:autoSpaceDE w:val="0"/>
        <w:autoSpaceDN w:val="0"/>
        <w:adjustRightInd w:val="0"/>
        <w:spacing w:after="0" w:line="360" w:lineRule="auto"/>
        <w:rPr>
          <w:rFonts w:ascii="Times New Roman" w:hAnsi="Times New Roman"/>
          <w:color w:val="000000"/>
          <w:sz w:val="20"/>
          <w:szCs w:val="20"/>
        </w:rPr>
      </w:pPr>
      <w:proofErr w:type="spellStart"/>
      <w:r w:rsidRPr="00372D05">
        <w:rPr>
          <w:rFonts w:ascii="Times New Roman" w:hAnsi="Times New Roman"/>
          <w:color w:val="000000"/>
          <w:sz w:val="20"/>
          <w:szCs w:val="20"/>
        </w:rPr>
        <w:t>Dangelico</w:t>
      </w:r>
      <w:proofErr w:type="spellEnd"/>
      <w:r w:rsidRPr="00372D05">
        <w:rPr>
          <w:rFonts w:ascii="Times New Roman" w:hAnsi="Times New Roman"/>
          <w:color w:val="000000"/>
          <w:sz w:val="20"/>
          <w:szCs w:val="20"/>
        </w:rPr>
        <w:t xml:space="preserve">, R.M. and </w:t>
      </w:r>
      <w:proofErr w:type="spellStart"/>
      <w:r w:rsidRPr="00372D05">
        <w:rPr>
          <w:rFonts w:ascii="Times New Roman" w:hAnsi="Times New Roman"/>
          <w:color w:val="000000"/>
          <w:sz w:val="20"/>
          <w:szCs w:val="20"/>
        </w:rPr>
        <w:t>Vocalelli</w:t>
      </w:r>
      <w:proofErr w:type="spellEnd"/>
      <w:r w:rsidRPr="00372D05">
        <w:rPr>
          <w:rFonts w:ascii="Times New Roman" w:hAnsi="Times New Roman"/>
          <w:color w:val="000000"/>
          <w:sz w:val="20"/>
          <w:szCs w:val="20"/>
        </w:rPr>
        <w:t>, D. (2017), “Green marketing: An analysis of definitions, strategy steps, and tools through a systematic review of the literature”, </w:t>
      </w:r>
      <w:r w:rsidRPr="00372D05">
        <w:rPr>
          <w:rFonts w:ascii="Times New Roman" w:hAnsi="Times New Roman"/>
          <w:i/>
          <w:iCs/>
          <w:color w:val="000000"/>
          <w:sz w:val="20"/>
          <w:szCs w:val="20"/>
        </w:rPr>
        <w:t>Journal of Cleaner Production</w:t>
      </w:r>
      <w:r w:rsidRPr="00372D05">
        <w:rPr>
          <w:rFonts w:ascii="Times New Roman" w:hAnsi="Times New Roman"/>
          <w:color w:val="000000"/>
          <w:sz w:val="20"/>
          <w:szCs w:val="20"/>
        </w:rPr>
        <w:t>, Vol. 165, pp. 1263-1279. https://doi.org/10.1016/j.jclepro.2017.07.184</w:t>
      </w:r>
    </w:p>
    <w:p w:rsidR="00BB348B" w:rsidRPr="00372D05" w:rsidRDefault="00BB348B" w:rsidP="00BB348B">
      <w:pPr>
        <w:numPr>
          <w:ilvl w:val="0"/>
          <w:numId w:val="2"/>
        </w:numPr>
        <w:autoSpaceDE w:val="0"/>
        <w:autoSpaceDN w:val="0"/>
        <w:adjustRightInd w:val="0"/>
        <w:spacing w:after="0" w:line="360" w:lineRule="auto"/>
        <w:rPr>
          <w:rFonts w:ascii="Times New Roman" w:hAnsi="Times New Roman"/>
          <w:color w:val="000000"/>
          <w:sz w:val="20"/>
          <w:szCs w:val="20"/>
        </w:rPr>
      </w:pPr>
      <w:r w:rsidRPr="00372D05">
        <w:rPr>
          <w:rFonts w:ascii="Times New Roman" w:hAnsi="Times New Roman"/>
          <w:color w:val="000000"/>
          <w:sz w:val="20"/>
          <w:szCs w:val="20"/>
        </w:rPr>
        <w:t>Zhang, L., Li, D. and Cao, C. (2018), “The influence of greenwashing perception on green purchasing intentions: The mediating role of green word-of-mouth and the moderating role of green concern”, </w:t>
      </w:r>
      <w:r w:rsidRPr="00372D05">
        <w:rPr>
          <w:rFonts w:ascii="Times New Roman" w:hAnsi="Times New Roman"/>
          <w:i/>
          <w:iCs/>
          <w:color w:val="000000"/>
          <w:sz w:val="20"/>
          <w:szCs w:val="20"/>
        </w:rPr>
        <w:t>Journal of Cleaner Production</w:t>
      </w:r>
      <w:r w:rsidRPr="00372D05">
        <w:rPr>
          <w:rFonts w:ascii="Times New Roman" w:hAnsi="Times New Roman"/>
          <w:color w:val="000000"/>
          <w:sz w:val="20"/>
          <w:szCs w:val="20"/>
        </w:rPr>
        <w:t>, Vol. 187, pp. 740-750. https://doi.org/10.1016/j.jclepro.2018.03.201</w:t>
      </w:r>
    </w:p>
    <w:p w:rsidR="00BB348B" w:rsidRPr="00372D05" w:rsidRDefault="00BB348B" w:rsidP="00BB348B">
      <w:pPr>
        <w:autoSpaceDE w:val="0"/>
        <w:autoSpaceDN w:val="0"/>
        <w:adjustRightInd w:val="0"/>
        <w:spacing w:after="0" w:line="360" w:lineRule="auto"/>
        <w:rPr>
          <w:rFonts w:ascii="Times New Roman" w:hAnsi="Times New Roman"/>
          <w:color w:val="000000"/>
          <w:sz w:val="20"/>
          <w:szCs w:val="20"/>
        </w:rPr>
      </w:pPr>
      <w:r w:rsidRPr="00372D05">
        <w:rPr>
          <w:rFonts w:ascii="Times New Roman" w:hAnsi="Times New Roman"/>
          <w:b/>
          <w:bCs/>
          <w:color w:val="000000"/>
          <w:sz w:val="20"/>
          <w:szCs w:val="20"/>
        </w:rPr>
        <w:t>Cluster 3</w:t>
      </w:r>
    </w:p>
    <w:p w:rsidR="00BB348B" w:rsidRPr="00372D05" w:rsidRDefault="00BB348B" w:rsidP="00BB348B">
      <w:pPr>
        <w:numPr>
          <w:ilvl w:val="0"/>
          <w:numId w:val="3"/>
        </w:numPr>
        <w:autoSpaceDE w:val="0"/>
        <w:autoSpaceDN w:val="0"/>
        <w:adjustRightInd w:val="0"/>
        <w:spacing w:after="0" w:line="360" w:lineRule="auto"/>
        <w:rPr>
          <w:rFonts w:ascii="Times New Roman" w:hAnsi="Times New Roman"/>
          <w:color w:val="000000"/>
          <w:sz w:val="20"/>
          <w:szCs w:val="20"/>
        </w:rPr>
      </w:pPr>
      <w:proofErr w:type="spellStart"/>
      <w:r w:rsidRPr="00372D05">
        <w:rPr>
          <w:rFonts w:ascii="Times New Roman" w:hAnsi="Times New Roman"/>
          <w:color w:val="000000"/>
          <w:sz w:val="20"/>
          <w:szCs w:val="20"/>
        </w:rPr>
        <w:t>Laroche</w:t>
      </w:r>
      <w:proofErr w:type="spellEnd"/>
      <w:r w:rsidRPr="00372D05">
        <w:rPr>
          <w:rFonts w:ascii="Times New Roman" w:hAnsi="Times New Roman"/>
          <w:color w:val="000000"/>
          <w:sz w:val="20"/>
          <w:szCs w:val="20"/>
        </w:rPr>
        <w:t xml:space="preserve">, M., Bergeron, J. and </w:t>
      </w:r>
      <w:proofErr w:type="spellStart"/>
      <w:r w:rsidRPr="00372D05">
        <w:rPr>
          <w:rFonts w:ascii="Times New Roman" w:hAnsi="Times New Roman"/>
          <w:color w:val="000000"/>
          <w:sz w:val="20"/>
          <w:szCs w:val="20"/>
        </w:rPr>
        <w:t>Barbaro-Forleo</w:t>
      </w:r>
      <w:proofErr w:type="spellEnd"/>
      <w:r w:rsidRPr="00372D05">
        <w:rPr>
          <w:rFonts w:ascii="Times New Roman" w:hAnsi="Times New Roman"/>
          <w:color w:val="000000"/>
          <w:sz w:val="20"/>
          <w:szCs w:val="20"/>
        </w:rPr>
        <w:t>, G. (2001), “Targeting consumers who are willing to pay more for environmentally friendly products”, </w:t>
      </w:r>
      <w:r w:rsidRPr="00372D05">
        <w:rPr>
          <w:rFonts w:ascii="Times New Roman" w:hAnsi="Times New Roman"/>
          <w:i/>
          <w:iCs/>
          <w:color w:val="000000"/>
          <w:sz w:val="20"/>
          <w:szCs w:val="20"/>
        </w:rPr>
        <w:t>Journal of Consumer Marketing</w:t>
      </w:r>
      <w:r w:rsidRPr="00372D05">
        <w:rPr>
          <w:rFonts w:ascii="Times New Roman" w:hAnsi="Times New Roman"/>
          <w:color w:val="000000"/>
          <w:sz w:val="20"/>
          <w:szCs w:val="20"/>
        </w:rPr>
        <w:t>, Vol. 18 No. 6, pp. 503-520. https://doi.org/10.1108/EUM0000000006155</w:t>
      </w:r>
    </w:p>
    <w:p w:rsidR="00BB348B" w:rsidRPr="00372D05" w:rsidRDefault="00BB348B" w:rsidP="00BB348B">
      <w:pPr>
        <w:numPr>
          <w:ilvl w:val="0"/>
          <w:numId w:val="3"/>
        </w:numPr>
        <w:autoSpaceDE w:val="0"/>
        <w:autoSpaceDN w:val="0"/>
        <w:adjustRightInd w:val="0"/>
        <w:spacing w:after="0" w:line="360" w:lineRule="auto"/>
        <w:rPr>
          <w:rFonts w:ascii="Times New Roman" w:hAnsi="Times New Roman"/>
          <w:color w:val="000000"/>
          <w:sz w:val="20"/>
          <w:szCs w:val="20"/>
        </w:rPr>
      </w:pPr>
      <w:proofErr w:type="gramStart"/>
      <w:r w:rsidRPr="00372D05">
        <w:rPr>
          <w:rFonts w:ascii="Times New Roman" w:hAnsi="Times New Roman"/>
          <w:color w:val="000000"/>
          <w:sz w:val="20"/>
          <w:szCs w:val="20"/>
        </w:rPr>
        <w:t>do</w:t>
      </w:r>
      <w:proofErr w:type="gramEnd"/>
      <w:r w:rsidRPr="00372D05">
        <w:rPr>
          <w:rFonts w:ascii="Times New Roman" w:hAnsi="Times New Roman"/>
          <w:color w:val="000000"/>
          <w:sz w:val="20"/>
          <w:szCs w:val="20"/>
        </w:rPr>
        <w:t xml:space="preserve"> </w:t>
      </w:r>
      <w:proofErr w:type="spellStart"/>
      <w:r w:rsidRPr="00372D05">
        <w:rPr>
          <w:rFonts w:ascii="Times New Roman" w:hAnsi="Times New Roman"/>
          <w:color w:val="000000"/>
          <w:sz w:val="20"/>
          <w:szCs w:val="20"/>
        </w:rPr>
        <w:t>Paço</w:t>
      </w:r>
      <w:proofErr w:type="spellEnd"/>
      <w:r w:rsidRPr="00372D05">
        <w:rPr>
          <w:rFonts w:ascii="Times New Roman" w:hAnsi="Times New Roman"/>
          <w:color w:val="000000"/>
          <w:sz w:val="20"/>
          <w:szCs w:val="20"/>
        </w:rPr>
        <w:t xml:space="preserve">, A., </w:t>
      </w:r>
      <w:proofErr w:type="spellStart"/>
      <w:r w:rsidRPr="00372D05">
        <w:rPr>
          <w:rFonts w:ascii="Times New Roman" w:hAnsi="Times New Roman"/>
          <w:color w:val="000000"/>
          <w:sz w:val="20"/>
          <w:szCs w:val="20"/>
        </w:rPr>
        <w:t>Shiel</w:t>
      </w:r>
      <w:proofErr w:type="spellEnd"/>
      <w:r w:rsidRPr="00372D05">
        <w:rPr>
          <w:rFonts w:ascii="Times New Roman" w:hAnsi="Times New Roman"/>
          <w:color w:val="000000"/>
          <w:sz w:val="20"/>
          <w:szCs w:val="20"/>
        </w:rPr>
        <w:t xml:space="preserve">, C. and Alves, H. (2020), “Generativity, sustainable development and green consumer </w:t>
      </w:r>
      <w:proofErr w:type="spellStart"/>
      <w:r w:rsidRPr="00372D05">
        <w:rPr>
          <w:rFonts w:ascii="Times New Roman" w:hAnsi="Times New Roman"/>
          <w:color w:val="000000"/>
          <w:sz w:val="20"/>
          <w:szCs w:val="20"/>
        </w:rPr>
        <w:t>behaviour</w:t>
      </w:r>
      <w:proofErr w:type="spellEnd"/>
      <w:r w:rsidRPr="00372D05">
        <w:rPr>
          <w:rFonts w:ascii="Times New Roman" w:hAnsi="Times New Roman"/>
          <w:color w:val="000000"/>
          <w:sz w:val="20"/>
          <w:szCs w:val="20"/>
        </w:rPr>
        <w:t>”, </w:t>
      </w:r>
      <w:r w:rsidRPr="00372D05">
        <w:rPr>
          <w:rFonts w:ascii="Times New Roman" w:hAnsi="Times New Roman"/>
          <w:i/>
          <w:iCs/>
          <w:color w:val="000000"/>
          <w:sz w:val="20"/>
          <w:szCs w:val="20"/>
        </w:rPr>
        <w:t>Journal of Cleaner Production</w:t>
      </w:r>
      <w:r w:rsidRPr="00372D05">
        <w:rPr>
          <w:rFonts w:ascii="Times New Roman" w:hAnsi="Times New Roman"/>
          <w:color w:val="000000"/>
          <w:sz w:val="20"/>
          <w:szCs w:val="20"/>
        </w:rPr>
        <w:t>, Vol. 245, 118865. https://doi.org/10.1016/j.jclepro.2019.118865</w:t>
      </w:r>
    </w:p>
    <w:p w:rsidR="00BB348B" w:rsidRPr="00372D05" w:rsidRDefault="00BB348B" w:rsidP="00BB348B">
      <w:pPr>
        <w:numPr>
          <w:ilvl w:val="0"/>
          <w:numId w:val="3"/>
        </w:numPr>
        <w:autoSpaceDE w:val="0"/>
        <w:autoSpaceDN w:val="0"/>
        <w:adjustRightInd w:val="0"/>
        <w:spacing w:after="0" w:line="360" w:lineRule="auto"/>
        <w:rPr>
          <w:rFonts w:ascii="Times New Roman" w:hAnsi="Times New Roman"/>
          <w:color w:val="000000"/>
          <w:sz w:val="20"/>
          <w:szCs w:val="20"/>
        </w:rPr>
      </w:pPr>
      <w:proofErr w:type="spellStart"/>
      <w:r w:rsidRPr="00372D05">
        <w:rPr>
          <w:rFonts w:ascii="Times New Roman" w:hAnsi="Times New Roman"/>
          <w:color w:val="000000"/>
          <w:sz w:val="20"/>
          <w:szCs w:val="20"/>
        </w:rPr>
        <w:t>Schuhwerk</w:t>
      </w:r>
      <w:proofErr w:type="spellEnd"/>
      <w:r w:rsidRPr="00372D05">
        <w:rPr>
          <w:rFonts w:ascii="Times New Roman" w:hAnsi="Times New Roman"/>
          <w:color w:val="000000"/>
          <w:sz w:val="20"/>
          <w:szCs w:val="20"/>
        </w:rPr>
        <w:t xml:space="preserve">, M.E. and </w:t>
      </w:r>
      <w:proofErr w:type="spellStart"/>
      <w:r w:rsidRPr="00372D05">
        <w:rPr>
          <w:rFonts w:ascii="Times New Roman" w:hAnsi="Times New Roman"/>
          <w:color w:val="000000"/>
          <w:sz w:val="20"/>
          <w:szCs w:val="20"/>
        </w:rPr>
        <w:t>Lefkoff-Hagius</w:t>
      </w:r>
      <w:proofErr w:type="spellEnd"/>
      <w:r w:rsidRPr="00372D05">
        <w:rPr>
          <w:rFonts w:ascii="Times New Roman" w:hAnsi="Times New Roman"/>
          <w:color w:val="000000"/>
          <w:sz w:val="20"/>
          <w:szCs w:val="20"/>
        </w:rPr>
        <w:t>, R. (1995), “Green or non-green? Does type of appeal matter when advertising a green product?</w:t>
      </w:r>
      <w:proofErr w:type="gramStart"/>
      <w:r w:rsidRPr="00372D05">
        <w:rPr>
          <w:rFonts w:ascii="Times New Roman" w:hAnsi="Times New Roman"/>
          <w:color w:val="000000"/>
          <w:sz w:val="20"/>
          <w:szCs w:val="20"/>
        </w:rPr>
        <w:t>”,</w:t>
      </w:r>
      <w:proofErr w:type="gramEnd"/>
      <w:r w:rsidRPr="00372D05">
        <w:rPr>
          <w:rFonts w:ascii="Times New Roman" w:hAnsi="Times New Roman"/>
          <w:color w:val="000000"/>
          <w:sz w:val="20"/>
          <w:szCs w:val="20"/>
        </w:rPr>
        <w:t> </w:t>
      </w:r>
      <w:r w:rsidRPr="00372D05">
        <w:rPr>
          <w:rFonts w:ascii="Times New Roman" w:hAnsi="Times New Roman"/>
          <w:i/>
          <w:iCs/>
          <w:color w:val="000000"/>
          <w:sz w:val="20"/>
          <w:szCs w:val="20"/>
        </w:rPr>
        <w:t>Journal of Advertising</w:t>
      </w:r>
      <w:r w:rsidRPr="00372D05">
        <w:rPr>
          <w:rFonts w:ascii="Times New Roman" w:hAnsi="Times New Roman"/>
          <w:color w:val="000000"/>
          <w:sz w:val="20"/>
          <w:szCs w:val="20"/>
        </w:rPr>
        <w:t>, Vol. 24 No. 2, pp. 45-54. https://doi.org/10.1080/00913367.1995.10673475</w:t>
      </w:r>
    </w:p>
    <w:p w:rsidR="00BB348B" w:rsidRPr="00372D05" w:rsidRDefault="00BB348B" w:rsidP="00BB348B">
      <w:pPr>
        <w:autoSpaceDE w:val="0"/>
        <w:autoSpaceDN w:val="0"/>
        <w:adjustRightInd w:val="0"/>
        <w:spacing w:after="0" w:line="360" w:lineRule="auto"/>
        <w:rPr>
          <w:rFonts w:ascii="Times New Roman" w:hAnsi="Times New Roman"/>
          <w:color w:val="000000"/>
          <w:sz w:val="20"/>
          <w:szCs w:val="20"/>
        </w:rPr>
      </w:pPr>
      <w:r w:rsidRPr="00372D05">
        <w:rPr>
          <w:rFonts w:ascii="Times New Roman" w:hAnsi="Times New Roman"/>
          <w:b/>
          <w:bCs/>
          <w:color w:val="000000"/>
          <w:sz w:val="20"/>
          <w:szCs w:val="20"/>
        </w:rPr>
        <w:t>Cluster 4</w:t>
      </w:r>
    </w:p>
    <w:p w:rsidR="00BB348B" w:rsidRPr="00372D05" w:rsidRDefault="00BB348B" w:rsidP="00BB348B">
      <w:pPr>
        <w:numPr>
          <w:ilvl w:val="0"/>
          <w:numId w:val="4"/>
        </w:numPr>
        <w:autoSpaceDE w:val="0"/>
        <w:autoSpaceDN w:val="0"/>
        <w:adjustRightInd w:val="0"/>
        <w:spacing w:after="0" w:line="360" w:lineRule="auto"/>
        <w:rPr>
          <w:rFonts w:ascii="Times New Roman" w:hAnsi="Times New Roman"/>
          <w:color w:val="000000"/>
          <w:sz w:val="20"/>
          <w:szCs w:val="20"/>
        </w:rPr>
      </w:pPr>
      <w:proofErr w:type="spellStart"/>
      <w:r w:rsidRPr="00372D05">
        <w:rPr>
          <w:rFonts w:ascii="Times New Roman" w:hAnsi="Times New Roman"/>
          <w:color w:val="000000"/>
          <w:sz w:val="20"/>
          <w:szCs w:val="20"/>
        </w:rPr>
        <w:t>Fornell</w:t>
      </w:r>
      <w:proofErr w:type="spellEnd"/>
      <w:r w:rsidRPr="00372D05">
        <w:rPr>
          <w:rFonts w:ascii="Times New Roman" w:hAnsi="Times New Roman"/>
          <w:color w:val="000000"/>
          <w:sz w:val="20"/>
          <w:szCs w:val="20"/>
        </w:rPr>
        <w:t xml:space="preserve">, C. and </w:t>
      </w:r>
      <w:proofErr w:type="spellStart"/>
      <w:r w:rsidRPr="00372D05">
        <w:rPr>
          <w:rFonts w:ascii="Times New Roman" w:hAnsi="Times New Roman"/>
          <w:color w:val="000000"/>
          <w:sz w:val="20"/>
          <w:szCs w:val="20"/>
        </w:rPr>
        <w:t>Larcker</w:t>
      </w:r>
      <w:proofErr w:type="spellEnd"/>
      <w:r w:rsidRPr="00372D05">
        <w:rPr>
          <w:rFonts w:ascii="Times New Roman" w:hAnsi="Times New Roman"/>
          <w:color w:val="000000"/>
          <w:sz w:val="20"/>
          <w:szCs w:val="20"/>
        </w:rPr>
        <w:t>, D.F. (1981), “Evaluating structural equation models with unobservable variables and measurement error”, </w:t>
      </w:r>
      <w:r w:rsidRPr="00372D05">
        <w:rPr>
          <w:rFonts w:ascii="Times New Roman" w:hAnsi="Times New Roman"/>
          <w:i/>
          <w:iCs/>
          <w:color w:val="000000"/>
          <w:sz w:val="20"/>
          <w:szCs w:val="20"/>
        </w:rPr>
        <w:t>Journal of Marketing Research</w:t>
      </w:r>
      <w:r w:rsidRPr="00372D05">
        <w:rPr>
          <w:rFonts w:ascii="Times New Roman" w:hAnsi="Times New Roman"/>
          <w:color w:val="000000"/>
          <w:sz w:val="20"/>
          <w:szCs w:val="20"/>
        </w:rPr>
        <w:t>, Vol. 18 No. 1, pp. 39-50. https://doi.org/10.1177/002224378101800104</w:t>
      </w:r>
    </w:p>
    <w:p w:rsidR="00BB348B" w:rsidRPr="00372D05" w:rsidRDefault="00BB348B" w:rsidP="00BB348B">
      <w:pPr>
        <w:numPr>
          <w:ilvl w:val="0"/>
          <w:numId w:val="4"/>
        </w:numPr>
        <w:autoSpaceDE w:val="0"/>
        <w:autoSpaceDN w:val="0"/>
        <w:adjustRightInd w:val="0"/>
        <w:spacing w:after="0" w:line="360" w:lineRule="auto"/>
        <w:rPr>
          <w:rFonts w:ascii="Times New Roman" w:hAnsi="Times New Roman"/>
          <w:color w:val="000000"/>
          <w:sz w:val="20"/>
          <w:szCs w:val="20"/>
        </w:rPr>
      </w:pPr>
      <w:proofErr w:type="spellStart"/>
      <w:r w:rsidRPr="00372D05">
        <w:rPr>
          <w:rFonts w:ascii="Times New Roman" w:hAnsi="Times New Roman"/>
          <w:color w:val="000000"/>
          <w:sz w:val="20"/>
          <w:szCs w:val="20"/>
        </w:rPr>
        <w:t>Nunnally</w:t>
      </w:r>
      <w:proofErr w:type="spellEnd"/>
      <w:r w:rsidRPr="00372D05">
        <w:rPr>
          <w:rFonts w:ascii="Times New Roman" w:hAnsi="Times New Roman"/>
          <w:color w:val="000000"/>
          <w:sz w:val="20"/>
          <w:szCs w:val="20"/>
        </w:rPr>
        <w:t>, J.C. (1978), </w:t>
      </w:r>
      <w:r w:rsidRPr="00372D05">
        <w:rPr>
          <w:rFonts w:ascii="Times New Roman" w:hAnsi="Times New Roman"/>
          <w:i/>
          <w:iCs/>
          <w:color w:val="000000"/>
          <w:sz w:val="20"/>
          <w:szCs w:val="20"/>
        </w:rPr>
        <w:t>Psychometric Theory</w:t>
      </w:r>
      <w:r w:rsidRPr="00372D05">
        <w:rPr>
          <w:rFonts w:ascii="Times New Roman" w:hAnsi="Times New Roman"/>
          <w:color w:val="000000"/>
          <w:sz w:val="20"/>
          <w:szCs w:val="20"/>
        </w:rPr>
        <w:t> (2nd ed.), McGraw-Hill.</w:t>
      </w:r>
    </w:p>
    <w:p w:rsidR="00BB348B" w:rsidRPr="00372D05" w:rsidRDefault="00BB348B" w:rsidP="00BB348B">
      <w:pPr>
        <w:numPr>
          <w:ilvl w:val="0"/>
          <w:numId w:val="4"/>
        </w:numPr>
        <w:autoSpaceDE w:val="0"/>
        <w:autoSpaceDN w:val="0"/>
        <w:adjustRightInd w:val="0"/>
        <w:spacing w:after="0" w:line="360" w:lineRule="auto"/>
        <w:rPr>
          <w:rFonts w:ascii="Times New Roman" w:hAnsi="Times New Roman"/>
          <w:color w:val="000000"/>
          <w:sz w:val="20"/>
          <w:szCs w:val="20"/>
        </w:rPr>
      </w:pPr>
      <w:r w:rsidRPr="00372D05">
        <w:rPr>
          <w:rFonts w:ascii="Times New Roman" w:hAnsi="Times New Roman"/>
          <w:color w:val="000000"/>
          <w:sz w:val="20"/>
          <w:szCs w:val="20"/>
        </w:rPr>
        <w:t>Fuller, D.A. (1999), </w:t>
      </w:r>
      <w:r w:rsidRPr="00372D05">
        <w:rPr>
          <w:rFonts w:ascii="Times New Roman" w:hAnsi="Times New Roman"/>
          <w:i/>
          <w:iCs/>
          <w:color w:val="000000"/>
          <w:sz w:val="20"/>
          <w:szCs w:val="20"/>
        </w:rPr>
        <w:t>Sustainable Marketing: Managerial-Ecological Issues</w:t>
      </w:r>
      <w:r w:rsidRPr="00372D05">
        <w:rPr>
          <w:rFonts w:ascii="Times New Roman" w:hAnsi="Times New Roman"/>
          <w:color w:val="000000"/>
          <w:sz w:val="20"/>
          <w:szCs w:val="20"/>
        </w:rPr>
        <w:t>, SAGE Publications.</w:t>
      </w:r>
    </w:p>
    <w:p w:rsidR="00BB348B" w:rsidRPr="00372D05" w:rsidRDefault="00BB348B" w:rsidP="00BB348B">
      <w:pPr>
        <w:numPr>
          <w:ilvl w:val="0"/>
          <w:numId w:val="4"/>
        </w:numPr>
        <w:autoSpaceDE w:val="0"/>
        <w:autoSpaceDN w:val="0"/>
        <w:adjustRightInd w:val="0"/>
        <w:spacing w:after="0" w:line="360" w:lineRule="auto"/>
        <w:rPr>
          <w:rFonts w:ascii="Times New Roman" w:hAnsi="Times New Roman"/>
          <w:color w:val="000000"/>
          <w:sz w:val="20"/>
          <w:szCs w:val="20"/>
        </w:rPr>
      </w:pPr>
      <w:r w:rsidRPr="00372D05">
        <w:rPr>
          <w:rFonts w:ascii="Times New Roman" w:hAnsi="Times New Roman"/>
          <w:color w:val="000000"/>
          <w:sz w:val="20"/>
          <w:szCs w:val="20"/>
        </w:rPr>
        <w:lastRenderedPageBreak/>
        <w:t>Peattie, K. and Crane, A. (2005), “Green Marketing: Legend, Myth, Farce or Prophesy?</w:t>
      </w:r>
      <w:proofErr w:type="gramStart"/>
      <w:r w:rsidRPr="00372D05">
        <w:rPr>
          <w:rFonts w:ascii="Times New Roman" w:hAnsi="Times New Roman"/>
          <w:color w:val="000000"/>
          <w:sz w:val="20"/>
          <w:szCs w:val="20"/>
        </w:rPr>
        <w:t>”,</w:t>
      </w:r>
      <w:proofErr w:type="gramEnd"/>
      <w:r w:rsidRPr="00372D05">
        <w:rPr>
          <w:rFonts w:ascii="Times New Roman" w:hAnsi="Times New Roman"/>
          <w:color w:val="000000"/>
          <w:sz w:val="20"/>
          <w:szCs w:val="20"/>
        </w:rPr>
        <w:t> </w:t>
      </w:r>
      <w:r w:rsidRPr="00372D05">
        <w:rPr>
          <w:rFonts w:ascii="Times New Roman" w:hAnsi="Times New Roman"/>
          <w:i/>
          <w:iCs/>
          <w:color w:val="000000"/>
          <w:sz w:val="20"/>
          <w:szCs w:val="20"/>
        </w:rPr>
        <w:t>Qualitative Market Research: An International Journal</w:t>
      </w:r>
      <w:r w:rsidRPr="00372D05">
        <w:rPr>
          <w:rFonts w:ascii="Times New Roman" w:hAnsi="Times New Roman"/>
          <w:color w:val="000000"/>
          <w:sz w:val="20"/>
          <w:szCs w:val="20"/>
        </w:rPr>
        <w:t>, Vol. 8 No. 4, pp. 357-370. https://doi.org/10.1108/13522750510619733</w:t>
      </w:r>
    </w:p>
    <w:p w:rsidR="00BB348B" w:rsidRPr="00372D05" w:rsidRDefault="00BB348B" w:rsidP="00BB348B">
      <w:pPr>
        <w:autoSpaceDE w:val="0"/>
        <w:autoSpaceDN w:val="0"/>
        <w:adjustRightInd w:val="0"/>
        <w:spacing w:after="0" w:line="360" w:lineRule="auto"/>
        <w:rPr>
          <w:rFonts w:ascii="Times New Roman" w:hAnsi="Times New Roman"/>
          <w:color w:val="000000"/>
          <w:sz w:val="20"/>
          <w:szCs w:val="20"/>
        </w:rPr>
      </w:pPr>
      <w:r w:rsidRPr="00372D05">
        <w:rPr>
          <w:rFonts w:ascii="Times New Roman" w:hAnsi="Times New Roman"/>
          <w:b/>
          <w:bCs/>
          <w:color w:val="000000"/>
          <w:sz w:val="20"/>
          <w:szCs w:val="20"/>
        </w:rPr>
        <w:t>Cluster 5</w:t>
      </w:r>
    </w:p>
    <w:p w:rsidR="00BB348B" w:rsidRPr="00372D05" w:rsidRDefault="00BB348B" w:rsidP="00BB348B">
      <w:pPr>
        <w:numPr>
          <w:ilvl w:val="0"/>
          <w:numId w:val="5"/>
        </w:numPr>
        <w:autoSpaceDE w:val="0"/>
        <w:autoSpaceDN w:val="0"/>
        <w:adjustRightInd w:val="0"/>
        <w:spacing w:after="0" w:line="360" w:lineRule="auto"/>
        <w:rPr>
          <w:rFonts w:ascii="Times New Roman" w:hAnsi="Times New Roman"/>
          <w:color w:val="000000"/>
          <w:sz w:val="20"/>
          <w:szCs w:val="20"/>
        </w:rPr>
      </w:pPr>
      <w:r w:rsidRPr="00372D05">
        <w:rPr>
          <w:rFonts w:ascii="Times New Roman" w:hAnsi="Times New Roman"/>
          <w:color w:val="000000"/>
          <w:sz w:val="20"/>
          <w:szCs w:val="20"/>
        </w:rPr>
        <w:t>Peattie, K. and Crane, A. (2005), “Green Marketing: Legend, Myth, Farce or Prophesy?</w:t>
      </w:r>
      <w:proofErr w:type="gramStart"/>
      <w:r w:rsidRPr="00372D05">
        <w:rPr>
          <w:rFonts w:ascii="Times New Roman" w:hAnsi="Times New Roman"/>
          <w:color w:val="000000"/>
          <w:sz w:val="20"/>
          <w:szCs w:val="20"/>
        </w:rPr>
        <w:t>”,</w:t>
      </w:r>
      <w:proofErr w:type="gramEnd"/>
      <w:r w:rsidRPr="00372D05">
        <w:rPr>
          <w:rFonts w:ascii="Times New Roman" w:hAnsi="Times New Roman"/>
          <w:color w:val="000000"/>
          <w:sz w:val="20"/>
          <w:szCs w:val="20"/>
        </w:rPr>
        <w:t> </w:t>
      </w:r>
      <w:r w:rsidRPr="00372D05">
        <w:rPr>
          <w:rFonts w:ascii="Times New Roman" w:hAnsi="Times New Roman"/>
          <w:i/>
          <w:iCs/>
          <w:color w:val="000000"/>
          <w:sz w:val="20"/>
          <w:szCs w:val="20"/>
        </w:rPr>
        <w:t>Qualitative Market Research: An International Journal</w:t>
      </w:r>
      <w:r w:rsidRPr="00372D05">
        <w:rPr>
          <w:rFonts w:ascii="Times New Roman" w:hAnsi="Times New Roman"/>
          <w:color w:val="000000"/>
          <w:sz w:val="20"/>
          <w:szCs w:val="20"/>
        </w:rPr>
        <w:t>, Vol. 8 No. 4, pp. 357-370. https://doi.org/10.1108/13522750510619733</w:t>
      </w:r>
    </w:p>
    <w:p w:rsidR="00BB348B" w:rsidRPr="00372D05" w:rsidRDefault="00BB348B" w:rsidP="00BB348B">
      <w:pPr>
        <w:numPr>
          <w:ilvl w:val="0"/>
          <w:numId w:val="5"/>
        </w:numPr>
        <w:autoSpaceDE w:val="0"/>
        <w:autoSpaceDN w:val="0"/>
        <w:adjustRightInd w:val="0"/>
        <w:spacing w:after="0" w:line="360" w:lineRule="auto"/>
        <w:rPr>
          <w:rFonts w:ascii="Times New Roman" w:hAnsi="Times New Roman"/>
          <w:color w:val="000000"/>
          <w:sz w:val="20"/>
          <w:szCs w:val="20"/>
        </w:rPr>
      </w:pPr>
      <w:r w:rsidRPr="00372D05">
        <w:rPr>
          <w:rFonts w:ascii="Times New Roman" w:hAnsi="Times New Roman"/>
          <w:color w:val="000000"/>
          <w:sz w:val="20"/>
          <w:szCs w:val="20"/>
        </w:rPr>
        <w:t xml:space="preserve">Jain, S.K. and Kaur, G. (2004), “Green Marketing: An Attitudinal and </w:t>
      </w:r>
      <w:proofErr w:type="spellStart"/>
      <w:r w:rsidRPr="00372D05">
        <w:rPr>
          <w:rFonts w:ascii="Times New Roman" w:hAnsi="Times New Roman"/>
          <w:color w:val="000000"/>
          <w:sz w:val="20"/>
          <w:szCs w:val="20"/>
        </w:rPr>
        <w:t>Behavioural</w:t>
      </w:r>
      <w:proofErr w:type="spellEnd"/>
      <w:r w:rsidRPr="00372D05">
        <w:rPr>
          <w:rFonts w:ascii="Times New Roman" w:hAnsi="Times New Roman"/>
          <w:color w:val="000000"/>
          <w:sz w:val="20"/>
          <w:szCs w:val="20"/>
        </w:rPr>
        <w:t xml:space="preserve"> Analysis of Indian Consumers”, </w:t>
      </w:r>
      <w:r w:rsidRPr="00372D05">
        <w:rPr>
          <w:rFonts w:ascii="Times New Roman" w:hAnsi="Times New Roman"/>
          <w:i/>
          <w:iCs/>
          <w:color w:val="000000"/>
          <w:sz w:val="20"/>
          <w:szCs w:val="20"/>
        </w:rPr>
        <w:t>Global Business Review</w:t>
      </w:r>
      <w:r w:rsidRPr="00372D05">
        <w:rPr>
          <w:rFonts w:ascii="Times New Roman" w:hAnsi="Times New Roman"/>
          <w:color w:val="000000"/>
          <w:sz w:val="20"/>
          <w:szCs w:val="20"/>
        </w:rPr>
        <w:t>, Vol. 5 No. 2, pp. 187-205. https://doi.org/10.1177/0972150904005002031</w:t>
      </w:r>
    </w:p>
    <w:p w:rsidR="00BB348B" w:rsidRPr="00372D05" w:rsidRDefault="00BB348B" w:rsidP="00BB348B">
      <w:pPr>
        <w:numPr>
          <w:ilvl w:val="0"/>
          <w:numId w:val="5"/>
        </w:numPr>
        <w:autoSpaceDE w:val="0"/>
        <w:autoSpaceDN w:val="0"/>
        <w:adjustRightInd w:val="0"/>
        <w:spacing w:after="0" w:line="360" w:lineRule="auto"/>
        <w:rPr>
          <w:rFonts w:ascii="Times New Roman" w:hAnsi="Times New Roman"/>
          <w:color w:val="000000"/>
          <w:sz w:val="20"/>
          <w:szCs w:val="20"/>
        </w:rPr>
      </w:pPr>
      <w:proofErr w:type="spellStart"/>
      <w:r w:rsidRPr="00372D05">
        <w:rPr>
          <w:rFonts w:ascii="Times New Roman" w:hAnsi="Times New Roman"/>
          <w:color w:val="000000"/>
          <w:sz w:val="20"/>
          <w:szCs w:val="20"/>
        </w:rPr>
        <w:t>Manaktola</w:t>
      </w:r>
      <w:proofErr w:type="spellEnd"/>
      <w:r w:rsidRPr="00372D05">
        <w:rPr>
          <w:rFonts w:ascii="Times New Roman" w:hAnsi="Times New Roman"/>
          <w:color w:val="000000"/>
          <w:sz w:val="20"/>
          <w:szCs w:val="20"/>
        </w:rPr>
        <w:t xml:space="preserve">, K. and </w:t>
      </w:r>
      <w:proofErr w:type="spellStart"/>
      <w:r w:rsidRPr="00372D05">
        <w:rPr>
          <w:rFonts w:ascii="Times New Roman" w:hAnsi="Times New Roman"/>
          <w:color w:val="000000"/>
          <w:sz w:val="20"/>
          <w:szCs w:val="20"/>
        </w:rPr>
        <w:t>Jauhari</w:t>
      </w:r>
      <w:proofErr w:type="spellEnd"/>
      <w:r w:rsidRPr="00372D05">
        <w:rPr>
          <w:rFonts w:ascii="Times New Roman" w:hAnsi="Times New Roman"/>
          <w:color w:val="000000"/>
          <w:sz w:val="20"/>
          <w:szCs w:val="20"/>
        </w:rPr>
        <w:t xml:space="preserve">, V. (2007), “Exploring consumer attitude and </w:t>
      </w:r>
      <w:proofErr w:type="spellStart"/>
      <w:r w:rsidRPr="00372D05">
        <w:rPr>
          <w:rFonts w:ascii="Times New Roman" w:hAnsi="Times New Roman"/>
          <w:color w:val="000000"/>
          <w:sz w:val="20"/>
          <w:szCs w:val="20"/>
        </w:rPr>
        <w:t>behaviour</w:t>
      </w:r>
      <w:proofErr w:type="spellEnd"/>
      <w:r w:rsidRPr="00372D05">
        <w:rPr>
          <w:rFonts w:ascii="Times New Roman" w:hAnsi="Times New Roman"/>
          <w:color w:val="000000"/>
          <w:sz w:val="20"/>
          <w:szCs w:val="20"/>
        </w:rPr>
        <w:t xml:space="preserve"> towards green practices in the lodging industry in India”, </w:t>
      </w:r>
      <w:r w:rsidRPr="00372D05">
        <w:rPr>
          <w:rFonts w:ascii="Times New Roman" w:hAnsi="Times New Roman"/>
          <w:i/>
          <w:iCs/>
          <w:color w:val="000000"/>
          <w:sz w:val="20"/>
          <w:szCs w:val="20"/>
        </w:rPr>
        <w:t>International Journal of Contemporary Hospitality Management</w:t>
      </w:r>
      <w:r w:rsidRPr="00372D05">
        <w:rPr>
          <w:rFonts w:ascii="Times New Roman" w:hAnsi="Times New Roman"/>
          <w:color w:val="000000"/>
          <w:sz w:val="20"/>
          <w:szCs w:val="20"/>
        </w:rPr>
        <w:t>, Vol. 19 No. 5, pp. 364-377. https://doi.org/10.1108/09596110710757534</w:t>
      </w:r>
    </w:p>
    <w:p w:rsidR="00BB348B" w:rsidRPr="00372D05" w:rsidRDefault="00BB348B" w:rsidP="00BB348B">
      <w:pPr>
        <w:autoSpaceDE w:val="0"/>
        <w:autoSpaceDN w:val="0"/>
        <w:adjustRightInd w:val="0"/>
        <w:spacing w:after="0" w:line="360" w:lineRule="auto"/>
        <w:rPr>
          <w:rFonts w:ascii="Times New Roman" w:hAnsi="Times New Roman"/>
          <w:color w:val="000000"/>
        </w:rPr>
      </w:pPr>
    </w:p>
    <w:p w:rsidR="00BB348B" w:rsidRPr="00372D05" w:rsidRDefault="00BB348B" w:rsidP="00BB348B">
      <w:pPr>
        <w:autoSpaceDE w:val="0"/>
        <w:autoSpaceDN w:val="0"/>
        <w:adjustRightInd w:val="0"/>
        <w:spacing w:after="0" w:line="360" w:lineRule="auto"/>
        <w:rPr>
          <w:rFonts w:ascii="Times New Roman" w:hAnsi="Times New Roman"/>
          <w:color w:val="000000"/>
        </w:rPr>
      </w:pPr>
    </w:p>
    <w:p w:rsidR="00BB348B" w:rsidRPr="00372D05" w:rsidRDefault="00BB348B" w:rsidP="00BB348B">
      <w:pPr>
        <w:autoSpaceDE w:val="0"/>
        <w:autoSpaceDN w:val="0"/>
        <w:adjustRightInd w:val="0"/>
        <w:spacing w:after="0" w:line="360" w:lineRule="auto"/>
        <w:rPr>
          <w:rFonts w:ascii="Times New Roman" w:hAnsi="Times New Roman"/>
          <w:color w:val="000000"/>
        </w:rPr>
      </w:pPr>
    </w:p>
    <w:p w:rsidR="00BB348B" w:rsidRPr="00372D05" w:rsidRDefault="00BB348B" w:rsidP="00BB348B">
      <w:pPr>
        <w:autoSpaceDE w:val="0"/>
        <w:autoSpaceDN w:val="0"/>
        <w:adjustRightInd w:val="0"/>
        <w:spacing w:after="0" w:line="360" w:lineRule="auto"/>
        <w:rPr>
          <w:rFonts w:ascii="Times New Roman" w:hAnsi="Times New Roman"/>
          <w:color w:val="000000"/>
        </w:rPr>
      </w:pPr>
    </w:p>
    <w:p w:rsidR="00BB348B" w:rsidRPr="00372D05" w:rsidRDefault="00BB348B" w:rsidP="00BB348B">
      <w:pPr>
        <w:autoSpaceDE w:val="0"/>
        <w:autoSpaceDN w:val="0"/>
        <w:adjustRightInd w:val="0"/>
        <w:spacing w:after="0" w:line="360" w:lineRule="auto"/>
        <w:rPr>
          <w:rFonts w:ascii="Times New Roman" w:hAnsi="Times New Roman"/>
          <w:color w:val="000000"/>
        </w:rPr>
      </w:pPr>
    </w:p>
    <w:p w:rsidR="00BB348B" w:rsidRPr="00372D05" w:rsidRDefault="00BB348B" w:rsidP="00BB348B">
      <w:pPr>
        <w:autoSpaceDE w:val="0"/>
        <w:autoSpaceDN w:val="0"/>
        <w:adjustRightInd w:val="0"/>
        <w:spacing w:after="0" w:line="360" w:lineRule="auto"/>
        <w:rPr>
          <w:rFonts w:ascii="Times New Roman" w:hAnsi="Times New Roman"/>
          <w:color w:val="000000"/>
        </w:rPr>
      </w:pPr>
    </w:p>
    <w:p w:rsidR="00BB348B" w:rsidRPr="00372D05" w:rsidRDefault="00BB348B" w:rsidP="00BB348B">
      <w:pPr>
        <w:autoSpaceDE w:val="0"/>
        <w:autoSpaceDN w:val="0"/>
        <w:adjustRightInd w:val="0"/>
        <w:spacing w:after="0" w:line="360" w:lineRule="auto"/>
        <w:rPr>
          <w:rFonts w:ascii="Times New Roman" w:hAnsi="Times New Roman"/>
          <w:color w:val="000000"/>
        </w:rPr>
      </w:pPr>
    </w:p>
    <w:p w:rsidR="00BB348B" w:rsidRPr="00372D05" w:rsidRDefault="00BB348B" w:rsidP="00BB348B">
      <w:pPr>
        <w:autoSpaceDE w:val="0"/>
        <w:autoSpaceDN w:val="0"/>
        <w:adjustRightInd w:val="0"/>
        <w:spacing w:after="0" w:line="360" w:lineRule="auto"/>
        <w:rPr>
          <w:rFonts w:ascii="Times New Roman" w:hAnsi="Times New Roman"/>
          <w:color w:val="000000"/>
        </w:rPr>
      </w:pPr>
    </w:p>
    <w:p w:rsidR="00BB348B" w:rsidRPr="00372D05" w:rsidRDefault="00BB348B" w:rsidP="00BB348B">
      <w:pPr>
        <w:autoSpaceDE w:val="0"/>
        <w:autoSpaceDN w:val="0"/>
        <w:adjustRightInd w:val="0"/>
        <w:spacing w:after="0" w:line="360" w:lineRule="auto"/>
        <w:rPr>
          <w:rFonts w:ascii="Times New Roman" w:hAnsi="Times New Roman"/>
          <w:color w:val="000000"/>
        </w:rPr>
      </w:pPr>
    </w:p>
    <w:p w:rsidR="00BB348B" w:rsidRPr="00372D05" w:rsidRDefault="00BB348B" w:rsidP="00BB348B">
      <w:pPr>
        <w:spacing w:line="360" w:lineRule="auto"/>
        <w:rPr>
          <w:rFonts w:ascii="Times New Roman" w:hAnsi="Times New Roman"/>
        </w:rPr>
      </w:pPr>
      <w:r w:rsidRPr="00372D05">
        <w:rPr>
          <w:rFonts w:ascii="Times New Roman" w:hAnsi="Times New Roman"/>
        </w:rPr>
        <w:t>Top Keywords in Green Marketing</w:t>
      </w:r>
    </w:p>
    <w:p w:rsidR="00BB348B" w:rsidRPr="00372D05" w:rsidRDefault="00BB348B" w:rsidP="00BB348B">
      <w:pPr>
        <w:autoSpaceDE w:val="0"/>
        <w:autoSpaceDN w:val="0"/>
        <w:adjustRightInd w:val="0"/>
        <w:spacing w:after="0" w:line="360" w:lineRule="auto"/>
        <w:rPr>
          <w:rFonts w:ascii="Times New Roman" w:hAnsi="Times New Roman"/>
          <w:b/>
          <w:bCs/>
          <w:color w:val="000000"/>
        </w:rPr>
      </w:pPr>
      <w:r w:rsidRPr="00372D05">
        <w:rPr>
          <w:rFonts w:ascii="Times New Roman" w:hAnsi="Times New Roman"/>
          <w:b/>
          <w:noProof/>
          <w:color w:val="000000"/>
          <w:lang w:val="en-IN" w:eastAsia="en-IN"/>
        </w:rPr>
        <w:drawing>
          <wp:inline distT="0" distB="0" distL="0" distR="0">
            <wp:extent cx="5400675" cy="2733675"/>
            <wp:effectExtent l="0" t="0" r="9525" b="9525"/>
            <wp:docPr id="1" name="Picture 1" descr="Uma imagem com texto, captura de ecrã, file, Tipo de letra&#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Uma imagem com texto, captura de ecrã, file, Tipo de letra&#10;&#10;Os conteúdos gerados por IA poderão estar incorreto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00675" cy="2733675"/>
                    </a:xfrm>
                    <a:prstGeom prst="rect">
                      <a:avLst/>
                    </a:prstGeom>
                    <a:noFill/>
                    <a:ln>
                      <a:noFill/>
                    </a:ln>
                  </pic:spPr>
                </pic:pic>
              </a:graphicData>
            </a:graphic>
          </wp:inline>
        </w:drawing>
      </w:r>
    </w:p>
    <w:p w:rsidR="00BB348B" w:rsidRPr="00372D05" w:rsidRDefault="00BB348B" w:rsidP="00BB348B">
      <w:pPr>
        <w:spacing w:line="360" w:lineRule="auto"/>
        <w:rPr>
          <w:rFonts w:ascii="Times New Roman" w:hAnsi="Times New Roman"/>
        </w:rPr>
      </w:pPr>
    </w:p>
    <w:p w:rsidR="00BB348B" w:rsidRPr="00372D05" w:rsidRDefault="00BB348B" w:rsidP="00BB348B">
      <w:pPr>
        <w:spacing w:line="360" w:lineRule="auto"/>
        <w:rPr>
          <w:rFonts w:ascii="Times New Roman" w:hAnsi="Times New Roman"/>
        </w:rPr>
      </w:pPr>
    </w:p>
    <w:p w:rsidR="00BB348B" w:rsidRPr="00372D05" w:rsidRDefault="00BB348B" w:rsidP="00BB348B">
      <w:pPr>
        <w:spacing w:line="360" w:lineRule="auto"/>
        <w:rPr>
          <w:rFonts w:ascii="Times New Roman" w:hAnsi="Times New Roman"/>
        </w:rPr>
      </w:pPr>
    </w:p>
    <w:p w:rsidR="00BB348B" w:rsidRPr="00372D05" w:rsidRDefault="00BB348B" w:rsidP="00BB348B">
      <w:pPr>
        <w:spacing w:line="360" w:lineRule="auto"/>
        <w:rPr>
          <w:rFonts w:ascii="Times New Roman" w:hAnsi="Times New Roman"/>
        </w:rPr>
      </w:pPr>
    </w:p>
    <w:p w:rsidR="00BB348B" w:rsidRPr="00372D05" w:rsidRDefault="00BB348B" w:rsidP="00BB348B">
      <w:pPr>
        <w:spacing w:line="360" w:lineRule="auto"/>
        <w:rPr>
          <w:rFonts w:ascii="Times New Roman" w:hAnsi="Times New Roman"/>
        </w:rPr>
      </w:pPr>
    </w:p>
    <w:p w:rsidR="00BB348B" w:rsidRPr="00372D05" w:rsidRDefault="00BB348B" w:rsidP="00BB348B">
      <w:pPr>
        <w:spacing w:line="360" w:lineRule="auto"/>
        <w:rPr>
          <w:rFonts w:ascii="Times New Roman" w:hAnsi="Times New Roman"/>
        </w:rPr>
      </w:pPr>
    </w:p>
    <w:p w:rsidR="00BB348B" w:rsidRPr="00372D05" w:rsidRDefault="00BB348B" w:rsidP="00BB348B">
      <w:pPr>
        <w:spacing w:line="360" w:lineRule="auto"/>
        <w:rPr>
          <w:rFonts w:ascii="Times New Roman" w:hAnsi="Times New Roman"/>
          <w:bCs/>
          <w:color w:val="000000"/>
        </w:rPr>
      </w:pPr>
      <w:r w:rsidRPr="00372D05">
        <w:rPr>
          <w:rFonts w:ascii="Times New Roman" w:hAnsi="Times New Roman"/>
        </w:rPr>
        <w:t>Centrality Metrics for Green Marketing Keywords</w:t>
      </w:r>
    </w:p>
    <w:tbl>
      <w:tblPr>
        <w:tblW w:w="7854" w:type="dxa"/>
        <w:tblInd w:w="93" w:type="dxa"/>
        <w:tblBorders>
          <w:top w:val="single" w:sz="4" w:space="0" w:color="auto"/>
          <w:bottom w:val="single" w:sz="4" w:space="0" w:color="auto"/>
        </w:tblBorders>
        <w:tblLook w:val="04A0" w:firstRow="1" w:lastRow="0" w:firstColumn="1" w:lastColumn="0" w:noHBand="0" w:noVBand="1"/>
      </w:tblPr>
      <w:tblGrid>
        <w:gridCol w:w="960"/>
        <w:gridCol w:w="2792"/>
        <w:gridCol w:w="1089"/>
        <w:gridCol w:w="1408"/>
        <w:gridCol w:w="1833"/>
        <w:gridCol w:w="222"/>
      </w:tblGrid>
      <w:tr w:rsidR="00BB348B" w:rsidRPr="00372D05" w:rsidTr="003D71D9">
        <w:trPr>
          <w:trHeight w:val="300"/>
        </w:trPr>
        <w:tc>
          <w:tcPr>
            <w:tcW w:w="960" w:type="dxa"/>
            <w:tcBorders>
              <w:top w:val="single" w:sz="4" w:space="0" w:color="auto"/>
              <w:bottom w:val="single" w:sz="4" w:space="0" w:color="auto"/>
            </w:tcBorders>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Rank</w:t>
            </w:r>
          </w:p>
        </w:tc>
        <w:tc>
          <w:tcPr>
            <w:tcW w:w="2792" w:type="dxa"/>
            <w:tcBorders>
              <w:top w:val="single" w:sz="4" w:space="0" w:color="auto"/>
              <w:bottom w:val="single" w:sz="4" w:space="0" w:color="auto"/>
            </w:tcBorders>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Keyword</w:t>
            </w:r>
          </w:p>
        </w:tc>
        <w:tc>
          <w:tcPr>
            <w:tcW w:w="960" w:type="dxa"/>
            <w:tcBorders>
              <w:top w:val="single" w:sz="4" w:space="0" w:color="auto"/>
              <w:bottom w:val="single" w:sz="4" w:space="0" w:color="auto"/>
            </w:tcBorders>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Degree Centrality</w:t>
            </w:r>
          </w:p>
        </w:tc>
        <w:tc>
          <w:tcPr>
            <w:tcW w:w="1222" w:type="dxa"/>
            <w:tcBorders>
              <w:top w:val="single" w:sz="4" w:space="0" w:color="auto"/>
              <w:bottom w:val="single" w:sz="4" w:space="0" w:color="auto"/>
            </w:tcBorders>
            <w:noWrap/>
            <w:vAlign w:val="bottom"/>
            <w:hideMark/>
          </w:tcPr>
          <w:p w:rsidR="00BB348B" w:rsidRPr="00372D05" w:rsidRDefault="00BB348B" w:rsidP="003D71D9">
            <w:pPr>
              <w:spacing w:after="0" w:line="360" w:lineRule="auto"/>
              <w:jc w:val="center"/>
              <w:rPr>
                <w:rFonts w:cs="Calibri"/>
                <w:color w:val="000000"/>
              </w:rPr>
            </w:pPr>
            <w:proofErr w:type="spellStart"/>
            <w:r w:rsidRPr="00372D05">
              <w:rPr>
                <w:rFonts w:cs="Calibri"/>
                <w:color w:val="000000"/>
              </w:rPr>
              <w:t>Betweenness</w:t>
            </w:r>
            <w:proofErr w:type="spellEnd"/>
            <w:r w:rsidRPr="00372D05">
              <w:rPr>
                <w:rFonts w:cs="Calibri"/>
                <w:color w:val="000000"/>
              </w:rPr>
              <w:t xml:space="preserve"> Centrality</w:t>
            </w:r>
          </w:p>
        </w:tc>
        <w:tc>
          <w:tcPr>
            <w:tcW w:w="1920" w:type="dxa"/>
            <w:gridSpan w:val="2"/>
            <w:tcBorders>
              <w:top w:val="single" w:sz="4" w:space="0" w:color="auto"/>
              <w:bottom w:val="single" w:sz="4" w:space="0" w:color="auto"/>
            </w:tcBorders>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Closeness Centrality</w:t>
            </w:r>
          </w:p>
        </w:tc>
      </w:tr>
      <w:tr w:rsidR="00BB348B" w:rsidRPr="00372D05" w:rsidTr="003D71D9">
        <w:trPr>
          <w:trHeight w:val="300"/>
        </w:trPr>
        <w:tc>
          <w:tcPr>
            <w:tcW w:w="960" w:type="dxa"/>
            <w:tcBorders>
              <w:top w:val="single" w:sz="4" w:space="0" w:color="auto"/>
            </w:tcBorders>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1</w:t>
            </w:r>
          </w:p>
        </w:tc>
        <w:tc>
          <w:tcPr>
            <w:tcW w:w="2792" w:type="dxa"/>
            <w:tcBorders>
              <w:top w:val="single" w:sz="4" w:space="0" w:color="auto"/>
            </w:tcBorders>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Green Marketing</w:t>
            </w:r>
          </w:p>
        </w:tc>
        <w:tc>
          <w:tcPr>
            <w:tcW w:w="960" w:type="dxa"/>
            <w:tcBorders>
              <w:top w:val="single" w:sz="4" w:space="0" w:color="auto"/>
            </w:tcBorders>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1</w:t>
            </w:r>
          </w:p>
        </w:tc>
        <w:tc>
          <w:tcPr>
            <w:tcW w:w="1222" w:type="dxa"/>
            <w:tcBorders>
              <w:top w:val="single" w:sz="4" w:space="0" w:color="auto"/>
            </w:tcBorders>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0.981818</w:t>
            </w:r>
          </w:p>
        </w:tc>
        <w:tc>
          <w:tcPr>
            <w:tcW w:w="1833" w:type="dxa"/>
            <w:tcBorders>
              <w:top w:val="single" w:sz="4" w:space="0" w:color="auto"/>
            </w:tcBorders>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1</w:t>
            </w:r>
          </w:p>
        </w:tc>
        <w:tc>
          <w:tcPr>
            <w:tcW w:w="87" w:type="dxa"/>
            <w:tcBorders>
              <w:top w:val="single" w:sz="4" w:space="0" w:color="auto"/>
            </w:tcBorders>
            <w:noWrap/>
            <w:vAlign w:val="bottom"/>
            <w:hideMark/>
          </w:tcPr>
          <w:p w:rsidR="00BB348B" w:rsidRPr="00372D05" w:rsidRDefault="00BB348B" w:rsidP="003D71D9">
            <w:pPr>
              <w:spacing w:after="0" w:line="360" w:lineRule="auto"/>
              <w:rPr>
                <w:rFonts w:cs="Calibri"/>
                <w:color w:val="000000"/>
              </w:rPr>
            </w:pPr>
          </w:p>
        </w:tc>
      </w:tr>
      <w:tr w:rsidR="00BB348B" w:rsidRPr="00372D05" w:rsidTr="003D71D9">
        <w:trPr>
          <w:trHeight w:val="300"/>
        </w:trPr>
        <w:tc>
          <w:tcPr>
            <w:tcW w:w="960"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2</w:t>
            </w:r>
          </w:p>
        </w:tc>
        <w:tc>
          <w:tcPr>
            <w:tcW w:w="2792"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Environment</w:t>
            </w:r>
          </w:p>
        </w:tc>
        <w:tc>
          <w:tcPr>
            <w:tcW w:w="960"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0.181818</w:t>
            </w:r>
          </w:p>
        </w:tc>
        <w:tc>
          <w:tcPr>
            <w:tcW w:w="1222"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w:t>
            </w:r>
          </w:p>
        </w:tc>
        <w:tc>
          <w:tcPr>
            <w:tcW w:w="1833"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0.55</w:t>
            </w:r>
          </w:p>
        </w:tc>
        <w:tc>
          <w:tcPr>
            <w:tcW w:w="87" w:type="dxa"/>
            <w:noWrap/>
            <w:vAlign w:val="bottom"/>
            <w:hideMark/>
          </w:tcPr>
          <w:p w:rsidR="00BB348B" w:rsidRPr="00372D05" w:rsidRDefault="00BB348B" w:rsidP="003D71D9">
            <w:pPr>
              <w:spacing w:after="0" w:line="360" w:lineRule="auto"/>
              <w:rPr>
                <w:rFonts w:cs="Calibri"/>
                <w:color w:val="000000"/>
              </w:rPr>
            </w:pPr>
          </w:p>
        </w:tc>
      </w:tr>
      <w:tr w:rsidR="00BB348B" w:rsidRPr="00372D05" w:rsidTr="003D71D9">
        <w:trPr>
          <w:trHeight w:val="300"/>
        </w:trPr>
        <w:tc>
          <w:tcPr>
            <w:tcW w:w="960"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3</w:t>
            </w:r>
          </w:p>
        </w:tc>
        <w:tc>
          <w:tcPr>
            <w:tcW w:w="2792"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Sustainability</w:t>
            </w:r>
          </w:p>
        </w:tc>
        <w:tc>
          <w:tcPr>
            <w:tcW w:w="960"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0.181818</w:t>
            </w:r>
          </w:p>
        </w:tc>
        <w:tc>
          <w:tcPr>
            <w:tcW w:w="1222"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w:t>
            </w:r>
          </w:p>
        </w:tc>
        <w:tc>
          <w:tcPr>
            <w:tcW w:w="1833"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0.55</w:t>
            </w:r>
          </w:p>
        </w:tc>
        <w:tc>
          <w:tcPr>
            <w:tcW w:w="87" w:type="dxa"/>
            <w:noWrap/>
            <w:vAlign w:val="bottom"/>
            <w:hideMark/>
          </w:tcPr>
          <w:p w:rsidR="00BB348B" w:rsidRPr="00372D05" w:rsidRDefault="00BB348B" w:rsidP="003D71D9">
            <w:pPr>
              <w:spacing w:after="0" w:line="360" w:lineRule="auto"/>
              <w:rPr>
                <w:rFonts w:cs="Calibri"/>
                <w:color w:val="000000"/>
              </w:rPr>
            </w:pPr>
          </w:p>
        </w:tc>
      </w:tr>
      <w:tr w:rsidR="00BB348B" w:rsidRPr="00372D05" w:rsidTr="003D71D9">
        <w:trPr>
          <w:trHeight w:val="300"/>
        </w:trPr>
        <w:tc>
          <w:tcPr>
            <w:tcW w:w="960"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4</w:t>
            </w:r>
          </w:p>
        </w:tc>
        <w:tc>
          <w:tcPr>
            <w:tcW w:w="2792"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Consumer Behavior</w:t>
            </w:r>
          </w:p>
        </w:tc>
        <w:tc>
          <w:tcPr>
            <w:tcW w:w="960"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0.090909</w:t>
            </w:r>
          </w:p>
        </w:tc>
        <w:tc>
          <w:tcPr>
            <w:tcW w:w="1222"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w:t>
            </w:r>
          </w:p>
        </w:tc>
        <w:tc>
          <w:tcPr>
            <w:tcW w:w="1833"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0.52381</w:t>
            </w:r>
          </w:p>
        </w:tc>
        <w:tc>
          <w:tcPr>
            <w:tcW w:w="87" w:type="dxa"/>
            <w:noWrap/>
            <w:vAlign w:val="bottom"/>
            <w:hideMark/>
          </w:tcPr>
          <w:p w:rsidR="00BB348B" w:rsidRPr="00372D05" w:rsidRDefault="00BB348B" w:rsidP="003D71D9">
            <w:pPr>
              <w:spacing w:after="0" w:line="360" w:lineRule="auto"/>
              <w:rPr>
                <w:rFonts w:cs="Calibri"/>
                <w:color w:val="000000"/>
              </w:rPr>
            </w:pPr>
          </w:p>
        </w:tc>
      </w:tr>
      <w:tr w:rsidR="00BB348B" w:rsidRPr="00372D05" w:rsidTr="003D71D9">
        <w:trPr>
          <w:trHeight w:val="300"/>
        </w:trPr>
        <w:tc>
          <w:tcPr>
            <w:tcW w:w="960"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5</w:t>
            </w:r>
          </w:p>
        </w:tc>
        <w:tc>
          <w:tcPr>
            <w:tcW w:w="2792"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Consumer Behavior</w:t>
            </w:r>
          </w:p>
        </w:tc>
        <w:tc>
          <w:tcPr>
            <w:tcW w:w="960"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0.090909</w:t>
            </w:r>
          </w:p>
        </w:tc>
        <w:tc>
          <w:tcPr>
            <w:tcW w:w="1222"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w:t>
            </w:r>
          </w:p>
        </w:tc>
        <w:tc>
          <w:tcPr>
            <w:tcW w:w="1833"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0.52381</w:t>
            </w:r>
          </w:p>
        </w:tc>
        <w:tc>
          <w:tcPr>
            <w:tcW w:w="87" w:type="dxa"/>
            <w:noWrap/>
            <w:vAlign w:val="bottom"/>
            <w:hideMark/>
          </w:tcPr>
          <w:p w:rsidR="00BB348B" w:rsidRPr="00372D05" w:rsidRDefault="00BB348B" w:rsidP="003D71D9">
            <w:pPr>
              <w:spacing w:after="0" w:line="360" w:lineRule="auto"/>
              <w:rPr>
                <w:rFonts w:cs="Calibri"/>
                <w:color w:val="000000"/>
              </w:rPr>
            </w:pPr>
          </w:p>
        </w:tc>
      </w:tr>
      <w:tr w:rsidR="00BB348B" w:rsidRPr="00372D05" w:rsidTr="003D71D9">
        <w:trPr>
          <w:trHeight w:val="300"/>
        </w:trPr>
        <w:tc>
          <w:tcPr>
            <w:tcW w:w="960"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6</w:t>
            </w:r>
          </w:p>
        </w:tc>
        <w:tc>
          <w:tcPr>
            <w:tcW w:w="2792"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Green Brand Equity</w:t>
            </w:r>
          </w:p>
        </w:tc>
        <w:tc>
          <w:tcPr>
            <w:tcW w:w="960"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0.090909</w:t>
            </w:r>
          </w:p>
        </w:tc>
        <w:tc>
          <w:tcPr>
            <w:tcW w:w="1222"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w:t>
            </w:r>
          </w:p>
        </w:tc>
        <w:tc>
          <w:tcPr>
            <w:tcW w:w="1833"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0.52381</w:t>
            </w:r>
          </w:p>
        </w:tc>
        <w:tc>
          <w:tcPr>
            <w:tcW w:w="87" w:type="dxa"/>
            <w:noWrap/>
            <w:vAlign w:val="bottom"/>
            <w:hideMark/>
          </w:tcPr>
          <w:p w:rsidR="00BB348B" w:rsidRPr="00372D05" w:rsidRDefault="00BB348B" w:rsidP="003D71D9">
            <w:pPr>
              <w:spacing w:after="0" w:line="360" w:lineRule="auto"/>
              <w:rPr>
                <w:rFonts w:cs="Calibri"/>
                <w:color w:val="000000"/>
              </w:rPr>
            </w:pPr>
          </w:p>
        </w:tc>
      </w:tr>
      <w:tr w:rsidR="00BB348B" w:rsidRPr="00372D05" w:rsidTr="003D71D9">
        <w:trPr>
          <w:trHeight w:val="300"/>
        </w:trPr>
        <w:tc>
          <w:tcPr>
            <w:tcW w:w="960"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7</w:t>
            </w:r>
          </w:p>
        </w:tc>
        <w:tc>
          <w:tcPr>
            <w:tcW w:w="2792"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Green Brand Image</w:t>
            </w:r>
          </w:p>
        </w:tc>
        <w:tc>
          <w:tcPr>
            <w:tcW w:w="960"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0.090909</w:t>
            </w:r>
          </w:p>
        </w:tc>
        <w:tc>
          <w:tcPr>
            <w:tcW w:w="1222"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w:t>
            </w:r>
          </w:p>
        </w:tc>
        <w:tc>
          <w:tcPr>
            <w:tcW w:w="1833"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0.52381</w:t>
            </w:r>
          </w:p>
        </w:tc>
        <w:tc>
          <w:tcPr>
            <w:tcW w:w="87" w:type="dxa"/>
            <w:noWrap/>
            <w:vAlign w:val="bottom"/>
            <w:hideMark/>
          </w:tcPr>
          <w:p w:rsidR="00BB348B" w:rsidRPr="00372D05" w:rsidRDefault="00BB348B" w:rsidP="003D71D9">
            <w:pPr>
              <w:spacing w:after="0" w:line="360" w:lineRule="auto"/>
              <w:rPr>
                <w:rFonts w:cs="Calibri"/>
                <w:color w:val="000000"/>
              </w:rPr>
            </w:pPr>
          </w:p>
        </w:tc>
      </w:tr>
      <w:tr w:rsidR="00BB348B" w:rsidRPr="00372D05" w:rsidTr="003D71D9">
        <w:trPr>
          <w:trHeight w:val="300"/>
        </w:trPr>
        <w:tc>
          <w:tcPr>
            <w:tcW w:w="960"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8</w:t>
            </w:r>
          </w:p>
        </w:tc>
        <w:tc>
          <w:tcPr>
            <w:tcW w:w="2792"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Advertising</w:t>
            </w:r>
          </w:p>
        </w:tc>
        <w:tc>
          <w:tcPr>
            <w:tcW w:w="960"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0.090909</w:t>
            </w:r>
          </w:p>
        </w:tc>
        <w:tc>
          <w:tcPr>
            <w:tcW w:w="1222"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w:t>
            </w:r>
          </w:p>
        </w:tc>
        <w:tc>
          <w:tcPr>
            <w:tcW w:w="1833"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0.52381</w:t>
            </w:r>
          </w:p>
        </w:tc>
        <w:tc>
          <w:tcPr>
            <w:tcW w:w="87" w:type="dxa"/>
            <w:noWrap/>
            <w:vAlign w:val="bottom"/>
            <w:hideMark/>
          </w:tcPr>
          <w:p w:rsidR="00BB348B" w:rsidRPr="00372D05" w:rsidRDefault="00BB348B" w:rsidP="003D71D9">
            <w:pPr>
              <w:spacing w:after="0" w:line="360" w:lineRule="auto"/>
              <w:rPr>
                <w:rFonts w:cs="Calibri"/>
                <w:color w:val="000000"/>
              </w:rPr>
            </w:pPr>
          </w:p>
        </w:tc>
      </w:tr>
      <w:tr w:rsidR="00BB348B" w:rsidRPr="00372D05" w:rsidTr="003D71D9">
        <w:trPr>
          <w:trHeight w:val="300"/>
        </w:trPr>
        <w:tc>
          <w:tcPr>
            <w:tcW w:w="960"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9</w:t>
            </w:r>
          </w:p>
        </w:tc>
        <w:tc>
          <w:tcPr>
            <w:tcW w:w="2792"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Greenwashing</w:t>
            </w:r>
          </w:p>
        </w:tc>
        <w:tc>
          <w:tcPr>
            <w:tcW w:w="960"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0.090909</w:t>
            </w:r>
          </w:p>
        </w:tc>
        <w:tc>
          <w:tcPr>
            <w:tcW w:w="1222"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w:t>
            </w:r>
          </w:p>
        </w:tc>
        <w:tc>
          <w:tcPr>
            <w:tcW w:w="1833"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0.52381</w:t>
            </w:r>
          </w:p>
        </w:tc>
        <w:tc>
          <w:tcPr>
            <w:tcW w:w="87" w:type="dxa"/>
            <w:noWrap/>
            <w:vAlign w:val="bottom"/>
            <w:hideMark/>
          </w:tcPr>
          <w:p w:rsidR="00BB348B" w:rsidRPr="00372D05" w:rsidRDefault="00BB348B" w:rsidP="003D71D9">
            <w:pPr>
              <w:spacing w:after="0" w:line="360" w:lineRule="auto"/>
              <w:rPr>
                <w:rFonts w:cs="Calibri"/>
                <w:color w:val="000000"/>
              </w:rPr>
            </w:pPr>
          </w:p>
        </w:tc>
      </w:tr>
      <w:tr w:rsidR="00BB348B" w:rsidRPr="00372D05" w:rsidTr="003D71D9">
        <w:trPr>
          <w:trHeight w:val="300"/>
        </w:trPr>
        <w:tc>
          <w:tcPr>
            <w:tcW w:w="960"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10</w:t>
            </w:r>
          </w:p>
        </w:tc>
        <w:tc>
          <w:tcPr>
            <w:tcW w:w="2792"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Corporate Social Responsibility</w:t>
            </w:r>
          </w:p>
        </w:tc>
        <w:tc>
          <w:tcPr>
            <w:tcW w:w="960"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0.090909</w:t>
            </w:r>
          </w:p>
        </w:tc>
        <w:tc>
          <w:tcPr>
            <w:tcW w:w="1222"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w:t>
            </w:r>
          </w:p>
        </w:tc>
        <w:tc>
          <w:tcPr>
            <w:tcW w:w="1833" w:type="dxa"/>
            <w:noWrap/>
            <w:vAlign w:val="bottom"/>
            <w:hideMark/>
          </w:tcPr>
          <w:p w:rsidR="00BB348B" w:rsidRPr="00372D05" w:rsidRDefault="00BB348B" w:rsidP="003D71D9">
            <w:pPr>
              <w:spacing w:after="0" w:line="360" w:lineRule="auto"/>
              <w:jc w:val="center"/>
              <w:rPr>
                <w:rFonts w:cs="Calibri"/>
                <w:color w:val="000000"/>
              </w:rPr>
            </w:pPr>
            <w:r w:rsidRPr="00372D05">
              <w:rPr>
                <w:rFonts w:cs="Calibri"/>
                <w:color w:val="000000"/>
              </w:rPr>
              <w:t>0.52381</w:t>
            </w:r>
          </w:p>
        </w:tc>
        <w:tc>
          <w:tcPr>
            <w:tcW w:w="87" w:type="dxa"/>
            <w:noWrap/>
            <w:vAlign w:val="bottom"/>
            <w:hideMark/>
          </w:tcPr>
          <w:p w:rsidR="00BB348B" w:rsidRPr="00372D05" w:rsidRDefault="00BB348B" w:rsidP="003D71D9">
            <w:pPr>
              <w:spacing w:after="0" w:line="360" w:lineRule="auto"/>
              <w:rPr>
                <w:rFonts w:cs="Calibri"/>
                <w:color w:val="000000"/>
              </w:rPr>
            </w:pPr>
          </w:p>
        </w:tc>
      </w:tr>
    </w:tbl>
    <w:p w:rsidR="00BB348B" w:rsidRPr="00372D05" w:rsidRDefault="00BB348B" w:rsidP="00BB348B">
      <w:pPr>
        <w:spacing w:line="360" w:lineRule="auto"/>
      </w:pPr>
    </w:p>
    <w:bookmarkEnd w:id="0"/>
    <w:p w:rsidR="00E419BD" w:rsidRDefault="00E419BD"/>
    <w:sectPr w:rsidR="00E419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E137DD"/>
    <w:multiLevelType w:val="multilevel"/>
    <w:tmpl w:val="D1344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64A6F"/>
    <w:multiLevelType w:val="multilevel"/>
    <w:tmpl w:val="A2BA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0070F3"/>
    <w:multiLevelType w:val="multilevel"/>
    <w:tmpl w:val="D2F6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2F8648D"/>
    <w:multiLevelType w:val="multilevel"/>
    <w:tmpl w:val="6F2EA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4A452D"/>
    <w:multiLevelType w:val="multilevel"/>
    <w:tmpl w:val="1F6E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490"/>
    <w:rsid w:val="00317CEB"/>
    <w:rsid w:val="00596490"/>
    <w:rsid w:val="00687462"/>
    <w:rsid w:val="00BB348B"/>
    <w:rsid w:val="00E419B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DDB4F4-C0EA-4C7D-AF72-1684FD432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48B"/>
    <w:pPr>
      <w:spacing w:after="200" w:line="276" w:lineRule="auto"/>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889</Words>
  <Characters>5073</Characters>
  <Application>Microsoft Office Word</Application>
  <DocSecurity>0</DocSecurity>
  <Lines>42</Lines>
  <Paragraphs>11</Paragraphs>
  <ScaleCrop>false</ScaleCrop>
  <Company/>
  <LinksUpToDate>false</LinksUpToDate>
  <CharactersWithSpaces>5951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Emerald</dc:creator>
  <cp:keywords/>
  <dc:description/>
  <cp:lastModifiedBy>Kevin Emerald</cp:lastModifiedBy>
  <cp:revision>4</cp:revision>
  <dcterms:created xsi:type="dcterms:W3CDTF">2025-12-12T15:57:00Z</dcterms:created>
  <dcterms:modified xsi:type="dcterms:W3CDTF">2025-12-12T15:58:00Z</dcterms:modified>
</cp:coreProperties>
</file>