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0DBD" w14:textId="77777777" w:rsidR="00224D05" w:rsidRDefault="00792226">
      <w:pPr>
        <w:jc w:val="center"/>
      </w:pPr>
      <w:r>
        <w:rPr>
          <w:b/>
          <w:sz w:val="32"/>
        </w:rPr>
        <w:t>Supplementary Materials</w:t>
      </w:r>
    </w:p>
    <w:p w14:paraId="43C3B818" w14:textId="77777777" w:rsidR="00224D05" w:rsidRDefault="00792226">
      <w:pPr>
        <w:jc w:val="center"/>
      </w:pPr>
      <w:r>
        <w:rPr>
          <w:i/>
          <w:sz w:val="22"/>
        </w:rPr>
        <w:t>Supersonic Sustainability Transitions: An Integrated Life Cycle and Triple Bottom Line Assessment with Socio-Technical Transition Lenses for Next-Generation Passenger Aircraft</w:t>
      </w:r>
    </w:p>
    <w:p w14:paraId="467A3F8B" w14:textId="77777777" w:rsidR="00224D05" w:rsidRDefault="00792226">
      <w:pPr>
        <w:pStyle w:val="SupplementNote"/>
        <w:jc w:val="both"/>
      </w:pPr>
      <w:r>
        <w:rPr>
          <w:b/>
        </w:rPr>
        <w:t xml:space="preserve">Supplementary-file clarification. </w:t>
      </w:r>
      <w:r>
        <w:t>This file contains all appendices cited in the main article (Appendices A-L), including Tables A1-A7 and Figures A1-A5. References cited in the supplementary material are listed in the main article reference list. Cross-references have been harmonized with the revised article file.</w:t>
      </w:r>
    </w:p>
    <w:p w14:paraId="5AE494A1" w14:textId="77777777" w:rsidR="00224D05" w:rsidRDefault="00792226">
      <w:pPr>
        <w:pStyle w:val="SupplementCaption"/>
      </w:pPr>
      <w:r>
        <w:rPr>
          <w:b/>
          <w:i w:val="0"/>
        </w:rPr>
        <w:t>Supplementary contents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1584"/>
        <w:gridCol w:w="7200"/>
      </w:tblGrid>
      <w:tr w:rsidR="00224D05" w14:paraId="54CD9425" w14:textId="77777777" w:rsidTr="00D70DA2">
        <w:trPr>
          <w:tblHeader/>
        </w:trPr>
        <w:tc>
          <w:tcPr>
            <w:tcW w:w="158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26DC3A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</w:t>
            </w:r>
          </w:p>
        </w:tc>
        <w:tc>
          <w:tcPr>
            <w:tcW w:w="158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DB5A97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w="720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2F0B34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Content</w:t>
            </w:r>
          </w:p>
        </w:tc>
      </w:tr>
      <w:tr w:rsidR="00224D05" w14:paraId="134B1A90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B92981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A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37A2070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Table A1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3B5C27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Literature gaps and study contribution</w:t>
            </w:r>
          </w:p>
        </w:tc>
      </w:tr>
      <w:tr w:rsidR="00224D05" w14:paraId="5A13E95B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46CA59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B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CD8F7A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Table A2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205F850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Full data inventory and assumptions matrix</w:t>
            </w:r>
          </w:p>
        </w:tc>
      </w:tr>
      <w:tr w:rsidR="00224D05" w14:paraId="3D9B08FC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EC2F29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C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DA0F56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Table A3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38B2F1B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LCA inventory modules and uncertainty treatment</w:t>
            </w:r>
          </w:p>
        </w:tc>
      </w:tr>
      <w:tr w:rsidR="00224D05" w14:paraId="65E7CEDD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B46DDB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D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E7613F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Table A4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8A7CF0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Life-cycle contribution analysis</w:t>
            </w:r>
          </w:p>
        </w:tc>
      </w:tr>
      <w:tr w:rsidR="00224D05" w14:paraId="042E91AD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F7DFA9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E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4C1509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Table A5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CFCE6B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Resource use and recovery potential</w:t>
            </w:r>
          </w:p>
        </w:tc>
      </w:tr>
      <w:tr w:rsidR="00224D05" w14:paraId="5B340609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97532C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F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5E70BD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Table A6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17CD83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Social and equity indicators and scenario values</w:t>
            </w:r>
          </w:p>
        </w:tc>
      </w:tr>
      <w:tr w:rsidR="00224D05" w14:paraId="2E1B325D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5D87363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G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CFA14B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Table A7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6B6555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Stakeholder-specific implementation actions</w:t>
            </w:r>
          </w:p>
        </w:tc>
      </w:tr>
      <w:tr w:rsidR="00224D05" w14:paraId="70651FC1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67F45F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H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16D182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Figure A1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701868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Data provenance and integration pipeline</w:t>
            </w:r>
          </w:p>
        </w:tc>
      </w:tr>
      <w:tr w:rsidR="00224D05" w14:paraId="7DC958E1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801503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I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B3157E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Figure A2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4C50ED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 xml:space="preserve">PRISMA </w:t>
            </w:r>
            <w:proofErr w:type="gramStart"/>
            <w:r>
              <w:rPr>
                <w:sz w:val="17"/>
              </w:rPr>
              <w:t>flow</w:t>
            </w:r>
            <w:proofErr w:type="gramEnd"/>
            <w:r>
              <w:rPr>
                <w:sz w:val="17"/>
              </w:rPr>
              <w:t xml:space="preserve"> for the literature corpus</w:t>
            </w:r>
          </w:p>
        </w:tc>
      </w:tr>
      <w:tr w:rsidR="00224D05" w14:paraId="3ABCA2D7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63A634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J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EBD31B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Figure A3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0EB82E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Total CASK by scenario</w:t>
            </w:r>
          </w:p>
        </w:tc>
      </w:tr>
      <w:tr w:rsidR="00224D05" w14:paraId="040ACB33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BFDBAF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K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5BB0A6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Figure A4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94B5AF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RASK, CASK, and operating margin by scenario</w:t>
            </w:r>
          </w:p>
        </w:tc>
      </w:tr>
      <w:tr w:rsidR="00224D05" w14:paraId="4B9AE4DA" w14:textId="77777777" w:rsidTr="00D70DA2"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222817" w14:textId="77777777" w:rsidR="00224D05" w:rsidRDefault="00792226">
            <w:pPr>
              <w:spacing w:after="0" w:line="240" w:lineRule="auto"/>
            </w:pPr>
            <w:r>
              <w:rPr>
                <w:b/>
                <w:sz w:val="17"/>
              </w:rPr>
              <w:t>Appendix L</w:t>
            </w:r>
          </w:p>
        </w:tc>
        <w:tc>
          <w:tcPr>
            <w:tcW w:w="158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68B58D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Figure A5</w:t>
            </w:r>
          </w:p>
        </w:tc>
        <w:tc>
          <w:tcPr>
            <w:tcW w:w="72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09A8BB" w14:textId="77777777" w:rsidR="00224D05" w:rsidRDefault="00792226">
            <w:pPr>
              <w:spacing w:after="0" w:line="240" w:lineRule="auto"/>
            </w:pPr>
            <w:r>
              <w:rPr>
                <w:sz w:val="17"/>
              </w:rPr>
              <w:t>Environmental-justice overlay</w:t>
            </w:r>
          </w:p>
        </w:tc>
      </w:tr>
    </w:tbl>
    <w:p w14:paraId="104A4DA6" w14:textId="66DCB78D" w:rsidR="00224D05" w:rsidRDefault="00792226">
      <w:pPr>
        <w:pStyle w:val="AppendixHeading"/>
      </w:pPr>
      <w:r>
        <w:t>Appendix A. Literature gap synthesis</w:t>
      </w:r>
    </w:p>
    <w:p w14:paraId="0D91939A" w14:textId="0D8655D9" w:rsidR="00224D05" w:rsidRDefault="00792226">
      <w:pPr>
        <w:pStyle w:val="SupplementCaption"/>
      </w:pPr>
      <w:r>
        <w:rPr>
          <w:b/>
          <w:i w:val="0"/>
        </w:rPr>
        <w:t xml:space="preserve">Table A1. </w:t>
      </w:r>
      <w:r w:rsidR="00284742" w:rsidRPr="00284742">
        <w:rPr>
          <w:b/>
          <w:i w:val="0"/>
        </w:rPr>
        <w:t>Economic feasibility, Key Literature Insights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6241"/>
        <w:gridCol w:w="3420"/>
        <w:gridCol w:w="3150"/>
      </w:tblGrid>
      <w:tr w:rsidR="00224D05" w14:paraId="04C7F2A7" w14:textId="77777777" w:rsidTr="00D70DA2">
        <w:trPr>
          <w:tblHeader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D83A90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Thematic Area</w:t>
            </w:r>
          </w:p>
        </w:tc>
        <w:tc>
          <w:tcPr>
            <w:tcW w:w="6241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4B61F5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Key Literature Insights</w:t>
            </w:r>
          </w:p>
        </w:tc>
        <w:tc>
          <w:tcPr>
            <w:tcW w:w="342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F9BDF5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Remaining Gap</w:t>
            </w:r>
          </w:p>
        </w:tc>
        <w:tc>
          <w:tcPr>
            <w:tcW w:w="315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F9448E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Contribution of This Study</w:t>
            </w:r>
          </w:p>
        </w:tc>
      </w:tr>
      <w:tr w:rsidR="00224D05" w14:paraId="13FE442C" w14:textId="77777777" w:rsidTr="00D70DA2">
        <w:tc>
          <w:tcPr>
            <w:tcW w:w="19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B495D6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Supersonic aircraft development</w:t>
            </w:r>
          </w:p>
        </w:tc>
        <w:tc>
          <w:tcPr>
            <w:tcW w:w="624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E4E9D0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New SST concepts focus on low-boom design, advanced materials, propulsion improvement, and SAF compatibility (Harding, 2021; NASA, 2023).</w:t>
            </w:r>
          </w:p>
        </w:tc>
        <w:tc>
          <w:tcPr>
            <w:tcW w:w="34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EABDD0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 xml:space="preserve">Historical barriers </w:t>
            </w:r>
            <w:proofErr w:type="gramStart"/>
            <w:r>
              <w:rPr>
                <w:sz w:val="15"/>
              </w:rPr>
              <w:t>remain:</w:t>
            </w:r>
            <w:proofErr w:type="gramEnd"/>
            <w:r>
              <w:rPr>
                <w:sz w:val="15"/>
              </w:rPr>
              <w:t xml:space="preserve"> fuel intensity, cost, sonic boom, and public acceptance.</w:t>
            </w:r>
          </w:p>
        </w:tc>
        <w:tc>
          <w:tcPr>
            <w:tcW w:w="315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8081BF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 xml:space="preserve">Evaluates SST as a sustainability-transition problem rather </w:t>
            </w:r>
            <w:proofErr w:type="gramStart"/>
            <w:r>
              <w:rPr>
                <w:sz w:val="15"/>
              </w:rPr>
              <w:t>than only</w:t>
            </w:r>
            <w:proofErr w:type="gramEnd"/>
            <w:r>
              <w:rPr>
                <w:sz w:val="15"/>
              </w:rPr>
              <w:t xml:space="preserve"> an aircraft-design issue.</w:t>
            </w:r>
          </w:p>
        </w:tc>
      </w:tr>
      <w:tr w:rsidR="00224D05" w14:paraId="544E441E" w14:textId="77777777" w:rsidTr="00D70DA2">
        <w:tc>
          <w:tcPr>
            <w:tcW w:w="19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89FFEA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Environmental impact</w:t>
            </w:r>
          </w:p>
        </w:tc>
        <w:tc>
          <w:tcPr>
            <w:tcW w:w="624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52B62C3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 xml:space="preserve">SST may produce higher fuel burn, CO₂, NOₓ-related ozone effects, stratospheric H₂O forcing, and noise exposure than subsonic aircraft (Davis &amp; </w:t>
            </w:r>
            <w:proofErr w:type="spellStart"/>
            <w:r>
              <w:rPr>
                <w:sz w:val="15"/>
              </w:rPr>
              <w:t>Kharina</w:t>
            </w:r>
            <w:proofErr w:type="spellEnd"/>
            <w:r>
              <w:rPr>
                <w:sz w:val="15"/>
              </w:rPr>
              <w:t xml:space="preserve">, 2018; Matthes et al., 2022; </w:t>
            </w:r>
            <w:proofErr w:type="spellStart"/>
            <w:r>
              <w:rPr>
                <w:sz w:val="15"/>
              </w:rPr>
              <w:t>Rötger</w:t>
            </w:r>
            <w:proofErr w:type="spellEnd"/>
            <w:r>
              <w:rPr>
                <w:sz w:val="15"/>
              </w:rPr>
              <w:t xml:space="preserve"> et al., 2024).</w:t>
            </w:r>
          </w:p>
        </w:tc>
        <w:tc>
          <w:tcPr>
            <w:tcW w:w="34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78B9DE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Few assessments integrate high-altitude non-CO₂ effects, boom exposure, and lifecycle burdens.</w:t>
            </w:r>
          </w:p>
        </w:tc>
        <w:tc>
          <w:tcPr>
            <w:tcW w:w="315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7F4A32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Applies cradle-to-grave LCA with aviation-relevant climate and noise considerations.</w:t>
            </w:r>
          </w:p>
        </w:tc>
      </w:tr>
      <w:tr w:rsidR="00224D05" w14:paraId="37FBAC4D" w14:textId="77777777" w:rsidTr="00D70DA2">
        <w:tc>
          <w:tcPr>
            <w:tcW w:w="19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981893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SAF and propulsion pathways</w:t>
            </w:r>
          </w:p>
        </w:tc>
        <w:tc>
          <w:tcPr>
            <w:tcW w:w="624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F3ABE6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SAF offers near-term emission reduction potential, while hydrogen and hybrid-electric concepts remain promising but less mature (IATA, 2020; Cabrera &amp; Melo de Sousa, 2022; Su-</w:t>
            </w:r>
            <w:proofErr w:type="spellStart"/>
            <w:r>
              <w:rPr>
                <w:sz w:val="15"/>
              </w:rPr>
              <w:t>ungkavatin</w:t>
            </w:r>
            <w:proofErr w:type="spellEnd"/>
            <w:r>
              <w:rPr>
                <w:sz w:val="15"/>
              </w:rPr>
              <w:t xml:space="preserve"> et al., 2023).</w:t>
            </w:r>
          </w:p>
        </w:tc>
        <w:tc>
          <w:tcPr>
            <w:tcW w:w="34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1670FF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Prior work often evaluates fuel and propulsion options separately from cost, infrastructure, and equity.</w:t>
            </w:r>
          </w:p>
        </w:tc>
        <w:tc>
          <w:tcPr>
            <w:tcW w:w="315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F9A354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Compares Jet-A, SAF, and LH₂-related pathways within an integrated sustainability model.</w:t>
            </w:r>
          </w:p>
        </w:tc>
      </w:tr>
      <w:tr w:rsidR="00224D05" w14:paraId="0573F814" w14:textId="77777777" w:rsidTr="00D70DA2">
        <w:tc>
          <w:tcPr>
            <w:tcW w:w="19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0DD732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Economic feasibility</w:t>
            </w:r>
          </w:p>
        </w:tc>
        <w:tc>
          <w:tcPr>
            <w:tcW w:w="624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056F1C" w14:textId="1C7FEC2B" w:rsidR="00224D05" w:rsidRDefault="00792226">
            <w:pPr>
              <w:spacing w:after="0" w:line="240" w:lineRule="auto"/>
            </w:pPr>
            <w:r>
              <w:rPr>
                <w:sz w:val="15"/>
              </w:rPr>
              <w:t xml:space="preserve">SST viability depends on fuel cost, energy intensity, premium demand, </w:t>
            </w:r>
            <w:r w:rsidR="008E3240" w:rsidRPr="008E3240">
              <w:rPr>
                <w:sz w:val="15"/>
              </w:rPr>
              <w:t>aircraft utilization, and passenger-normalized unit operating cost–unit revenue balance</w:t>
            </w:r>
          </w:p>
        </w:tc>
        <w:tc>
          <w:tcPr>
            <w:tcW w:w="34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8445C3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Economic analysis is often disconnected from environmental and social exposure assessment.</w:t>
            </w:r>
          </w:p>
        </w:tc>
        <w:tc>
          <w:tcPr>
            <w:tcW w:w="315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751358" w14:textId="0AD5D52D" w:rsidR="00224D05" w:rsidRDefault="008B6729">
            <w:pPr>
              <w:spacing w:after="0" w:line="240" w:lineRule="auto"/>
            </w:pPr>
            <w:r w:rsidRPr="008B6729">
              <w:rPr>
                <w:sz w:val="15"/>
              </w:rPr>
              <w:t>Integrates passenger-normalized unit operating cost, unit revenue, operating margin, fuel cost, carbon cost, and uncertainty into TBL-based pathway evaluation</w:t>
            </w:r>
          </w:p>
        </w:tc>
      </w:tr>
      <w:tr w:rsidR="00224D05" w14:paraId="38FB4291" w14:textId="77777777" w:rsidTr="00D70DA2">
        <w:tc>
          <w:tcPr>
            <w:tcW w:w="19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00DA53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Noise, equity, and public acceptance</w:t>
            </w:r>
          </w:p>
        </w:tc>
        <w:tc>
          <w:tcPr>
            <w:tcW w:w="624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C491CC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Sonic boom, airport noise, and environmental-justice exposure influence regulatory feasibility and community acceptance (Coen et al., 2022; Ghosh &amp; Bressman, 2024).</w:t>
            </w:r>
          </w:p>
        </w:tc>
        <w:tc>
          <w:tcPr>
            <w:tcW w:w="34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1A0B4F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Social and equity indicators are rarely incorporated into SST transition assessment.</w:t>
            </w:r>
          </w:p>
        </w:tc>
        <w:tc>
          <w:tcPr>
            <w:tcW w:w="315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30CB7D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Includes noise exposure, affordability, accessibility, equity exposure, public sentiment, and safety perception indicators.</w:t>
            </w:r>
          </w:p>
        </w:tc>
      </w:tr>
      <w:tr w:rsidR="00224D05" w14:paraId="75224655" w14:textId="77777777" w:rsidTr="00D70DA2">
        <w:tc>
          <w:tcPr>
            <w:tcW w:w="19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358B72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STS/MLP transition analysis</w:t>
            </w:r>
          </w:p>
        </w:tc>
        <w:tc>
          <w:tcPr>
            <w:tcW w:w="624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3354EE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STS and MLP explain how innovations interact with regimes, infrastructure, policy, markets, and users (Geels, 2020; El Bilali, 2019).</w:t>
            </w:r>
          </w:p>
        </w:tc>
        <w:tc>
          <w:tcPr>
            <w:tcW w:w="34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4DF100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Aviation-specific STS/MLP categories are often discussed conceptually but not operationalized.</w:t>
            </w:r>
          </w:p>
        </w:tc>
        <w:tc>
          <w:tcPr>
            <w:tcW w:w="315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234BDD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Uses certification regime, fuel infrastructure, airline economics, airport noise governance, SAF/LH₂ supply chain, overland boom regulation, and community acceptance as interpretive categories.</w:t>
            </w:r>
          </w:p>
        </w:tc>
      </w:tr>
      <w:tr w:rsidR="00224D05" w14:paraId="72A7DBD6" w14:textId="77777777" w:rsidTr="00D70DA2">
        <w:tc>
          <w:tcPr>
            <w:tcW w:w="19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F11E0B" w14:textId="77777777" w:rsidR="00224D05" w:rsidRDefault="00792226">
            <w:pPr>
              <w:spacing w:after="0" w:line="240" w:lineRule="auto"/>
            </w:pPr>
            <w:r>
              <w:rPr>
                <w:b/>
                <w:sz w:val="15"/>
              </w:rPr>
              <w:t>Framework integration</w:t>
            </w:r>
          </w:p>
        </w:tc>
        <w:tc>
          <w:tcPr>
            <w:tcW w:w="624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1A6CE1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 xml:space="preserve">LCA, TBL, and transition frameworks are often applied separately (Elkington, 1998; </w:t>
            </w:r>
            <w:proofErr w:type="spellStart"/>
            <w:r>
              <w:rPr>
                <w:sz w:val="15"/>
              </w:rPr>
              <w:t>Cucurachi</w:t>
            </w:r>
            <w:proofErr w:type="spellEnd"/>
            <w:r>
              <w:rPr>
                <w:sz w:val="15"/>
              </w:rPr>
              <w:t xml:space="preserve"> et al., 2019; Sitarska, 2025).</w:t>
            </w:r>
          </w:p>
        </w:tc>
        <w:tc>
          <w:tcPr>
            <w:tcW w:w="34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CFC841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Limited research converts these frameworks into explicit decision rules for SST transition readiness.</w:t>
            </w:r>
          </w:p>
        </w:tc>
        <w:tc>
          <w:tcPr>
            <w:tcW w:w="315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42619F" w14:textId="77777777" w:rsidR="00224D05" w:rsidRDefault="00792226">
            <w:pPr>
              <w:spacing w:after="0" w:line="240" w:lineRule="auto"/>
            </w:pPr>
            <w:r>
              <w:rPr>
                <w:sz w:val="15"/>
              </w:rPr>
              <w:t>Develops SSTAM to classify pathways as no-regrets when robust across uncertainty and conditional when dependent on policy, infrastructure, energy, or community safeguards.</w:t>
            </w:r>
          </w:p>
        </w:tc>
      </w:tr>
    </w:tbl>
    <w:p w14:paraId="2CA9A119" w14:textId="77777777" w:rsidR="00224D05" w:rsidRDefault="00792226" w:rsidP="00974E07">
      <w:pPr>
        <w:pStyle w:val="SupplementNote"/>
        <w:jc w:val="center"/>
      </w:pPr>
      <w:r>
        <w:rPr>
          <w:i/>
        </w:rPr>
        <w:t xml:space="preserve">Note. </w:t>
      </w:r>
      <w:r>
        <w:t>Citations correspond to sources listed in the main article reference list.</w:t>
      </w:r>
    </w:p>
    <w:p w14:paraId="0295F568" w14:textId="385F00F5" w:rsidR="00224D05" w:rsidRDefault="00224D05"/>
    <w:p w14:paraId="4DF44888" w14:textId="77777777" w:rsidR="00224D05" w:rsidRDefault="00792226">
      <w:pPr>
        <w:pStyle w:val="AppendixHeading"/>
      </w:pPr>
      <w:r>
        <w:t>Appendix B. Data inventory and assumptions</w:t>
      </w:r>
    </w:p>
    <w:p w14:paraId="2F8F7AA0" w14:textId="77777777" w:rsidR="00224D05" w:rsidRDefault="00792226">
      <w:pPr>
        <w:pStyle w:val="SupplementCaption"/>
      </w:pPr>
      <w:r>
        <w:rPr>
          <w:b/>
          <w:i w:val="0"/>
        </w:rPr>
        <w:t>Table A2. Full data inventory and assumptions matrix for the integrated LCA-TBL assessment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490"/>
        <w:gridCol w:w="3060"/>
        <w:gridCol w:w="3510"/>
        <w:gridCol w:w="3240"/>
      </w:tblGrid>
      <w:tr w:rsidR="00224D05" w:rsidRPr="00A873EB" w14:paraId="691E55DD" w14:textId="77777777" w:rsidTr="00A873EB">
        <w:trPr>
          <w:tblHeader/>
        </w:trPr>
        <w:tc>
          <w:tcPr>
            <w:tcW w:w="180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602837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Input Domain</w:t>
            </w:r>
          </w:p>
        </w:tc>
        <w:tc>
          <w:tcPr>
            <w:tcW w:w="349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F38286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Key Parameters</w:t>
            </w:r>
          </w:p>
        </w:tc>
        <w:tc>
          <w:tcPr>
            <w:tcW w:w="306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E31F87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Main Source Basis</w:t>
            </w:r>
          </w:p>
        </w:tc>
        <w:tc>
          <w:tcPr>
            <w:tcW w:w="351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3D5783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Assumption / Uncertainty Treatment</w:t>
            </w:r>
          </w:p>
        </w:tc>
        <w:tc>
          <w:tcPr>
            <w:tcW w:w="324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52EB6B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Role in the Model</w:t>
            </w:r>
          </w:p>
        </w:tc>
      </w:tr>
      <w:tr w:rsidR="00224D05" w:rsidRPr="00A873EB" w14:paraId="05873C92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D0F200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Aircraft mission and performance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E0C75D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Stage length, seating capacity, load factor, Mach number, cruise altitude, specific fuel consumption, lift-to-drag ratio, block fuel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4CFAB3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OEM/NASA concepts; peer-reviewed SST studies; A350/787-type benchmarks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3A7C8B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Supersonic missions were matched with comparable long-haul subsonic operations; uncertainty range: ±10–30%.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C8C054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Defines mission profile, RPK denominator, fuel burn, energy intensity, and g CO₂-eq/mission.</w:t>
            </w:r>
          </w:p>
        </w:tc>
      </w:tr>
      <w:tr w:rsidR="00224D05" w:rsidRPr="00A873EB" w14:paraId="0ECE0A50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2B6FA7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Materials, manufacturing, and end-of-life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671F81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Aluminum, titanium, composites, engine materials, process energy, machining waste, recycling and disposal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30566E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LCI databases; aircraft materials literature; OEM/technical reports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708724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Advanced SST airframes require lightweight and high-temperature materials; recovery credits applied where supported; uncertainty range: ±20–40%.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FD2700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Estimates embodied emissions, resource demand, manufacturing impacts, and circularity benefits.</w:t>
            </w:r>
          </w:p>
        </w:tc>
      </w:tr>
      <w:tr w:rsidR="00224D05" w:rsidRPr="00A873EB" w14:paraId="379ED913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6E5FCE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Fuel and hydrogen pathways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5E12EA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Jet-A, HEFA-SAF, FT-SAF, ATJ-SAF, LH₂ carbon intensity, electrolysis intensity, grid carbon intensity, liquefaction energy, boil-off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E0873DF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 xml:space="preserve">GREET, </w:t>
            </w:r>
            <w:proofErr w:type="spellStart"/>
            <w:r w:rsidRPr="00A873EB">
              <w:rPr>
                <w:sz w:val="18"/>
                <w:szCs w:val="18"/>
              </w:rPr>
              <w:t>ecoinvent</w:t>
            </w:r>
            <w:proofErr w:type="spellEnd"/>
            <w:r w:rsidRPr="00A873EB">
              <w:rPr>
                <w:sz w:val="18"/>
                <w:szCs w:val="18"/>
              </w:rPr>
              <w:t>, SAF/LH₂ studies, ASTM-related literature, energy-system reports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521C30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Fuel pathways modeled on a well-to-wake basis; co-products treated using source-specific energy, mass, or economic allocation; uncertainty range: ±15–50%.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101FBF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Determines fuel-cycle emissions, fuel cost, pathway comparison, and conditional viability of LH₂ scenarios.</w:t>
            </w:r>
          </w:p>
        </w:tc>
      </w:tr>
      <w:tr w:rsidR="00224D05" w:rsidRPr="00A873EB" w14:paraId="2F998574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FA7CF3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Operations and maintenance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986852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Mission fuel burn, lubricants, spare parts, MRO energy, maintenance intensity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E6D6CC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Airline/MRO reports; technical studies; subsonic benchmark data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CB351C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Operations dominate lifecycle impacts because of high SST fuel intensity; uncertainty range: ±10–25%.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C16DAD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Main contributor to GWP100, energy demand, operating cost, and sensitivity outcomes.</w:t>
            </w:r>
          </w:p>
        </w:tc>
      </w:tr>
      <w:tr w:rsidR="00224D05" w:rsidRPr="00A873EB" w14:paraId="7F3CF12F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A17381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High-altitude emissions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D8F6D3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NOₓ-induced ozone, stratospheric H₂O, non-CO₂ forcing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81EA20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Atmospheric modeling studies; ICAO/CAEP literature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FF8F91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Non-CO₂ effects were characterized separately from direct CO₂ because SST cruise altitude affects radiative forcing; uncertainty range: ±30–50%.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335B28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Expands climate assessment beyond CO₂-only accounting.</w:t>
            </w:r>
          </w:p>
        </w:tc>
      </w:tr>
      <w:tr w:rsidR="00224D05" w:rsidRPr="00A873EB" w14:paraId="7F5CFC1F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FD883E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Noise, social, and equity indicators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608938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A873EB">
              <w:rPr>
                <w:sz w:val="18"/>
                <w:szCs w:val="18"/>
              </w:rPr>
              <w:t>L_den</w:t>
            </w:r>
            <w:proofErr w:type="spellEnd"/>
            <w:r w:rsidRPr="00A873EB">
              <w:rPr>
                <w:sz w:val="18"/>
                <w:szCs w:val="18"/>
              </w:rPr>
              <w:t xml:space="preserve">, SEL, </w:t>
            </w:r>
            <w:proofErr w:type="spellStart"/>
            <w:r w:rsidRPr="00A873EB">
              <w:rPr>
                <w:sz w:val="18"/>
                <w:szCs w:val="18"/>
              </w:rPr>
              <w:t>PLdB</w:t>
            </w:r>
            <w:proofErr w:type="spellEnd"/>
            <w:r w:rsidRPr="00A873EB">
              <w:rPr>
                <w:sz w:val="18"/>
                <w:szCs w:val="18"/>
              </w:rPr>
              <w:t>, exposed population, affordability index, accessibility coverage, equity exposure ratio, safety perception, public favorability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7CE2E4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FAA/EASA/ICAO noise standards; NASA X-59 data; policy documents; environmental-justice and community-exposure literature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190B7C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Social outcomes were represented through exposure, affordability, access, and perception proxies; uncertainty range: ±10–30%.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DA78E6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Supports TBL social pillar, community-acceptance assessment, and equity-safeguard evaluation.</w:t>
            </w:r>
          </w:p>
        </w:tc>
      </w:tr>
      <w:tr w:rsidR="00224D05" w:rsidRPr="00A873EB" w14:paraId="094489BA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413909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lastRenderedPageBreak/>
              <w:t>Economic and policy variables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35C6D7" w14:textId="551DF0D1" w:rsidR="00224D05" w:rsidRPr="00A873EB" w:rsidRDefault="002F5C3F">
            <w:pPr>
              <w:spacing w:after="0" w:line="240" w:lineRule="auto"/>
              <w:rPr>
                <w:sz w:val="18"/>
                <w:szCs w:val="18"/>
              </w:rPr>
            </w:pPr>
            <w:r w:rsidRPr="002F5C3F">
              <w:rPr>
                <w:sz w:val="18"/>
                <w:szCs w:val="18"/>
              </w:rPr>
              <w:t>Passenger-normalized unit operating cost, unit revenue, operating margin, CAPEX, OPEX, fuel cost, carbon cost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1A0544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Airline reports; aviation cost literature; ICAO/IATA policy documents; carbon-pricing and SAF-mandate studies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48CF67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Economic and policy variables were modeled as scenario and sensitivity factors; uncertainty range: ±10–40% or binary policy switch.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498A1E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Supports economic feasibility, MCDA integration, and no-regrets/conditional pathway classification.</w:t>
            </w:r>
          </w:p>
        </w:tc>
      </w:tr>
      <w:tr w:rsidR="00224D05" w:rsidRPr="00A873EB" w14:paraId="0809F681" w14:textId="77777777" w:rsidTr="00A873EB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645C8B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b/>
                <w:sz w:val="18"/>
                <w:szCs w:val="18"/>
              </w:rPr>
              <w:t>Quality and validation</w:t>
            </w:r>
          </w:p>
        </w:tc>
        <w:tc>
          <w:tcPr>
            <w:tcW w:w="349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3F0E46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Unit checks, source hierarchy, benchmark comparison, pedigree scoring, sensitivity testing</w:t>
            </w:r>
          </w:p>
        </w:tc>
        <w:tc>
          <w:tcPr>
            <w:tcW w:w="306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135BBD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Regulatory, OEM/NASA, database, and peer-reviewed sources</w:t>
            </w:r>
          </w:p>
        </w:tc>
        <w:tc>
          <w:tcPr>
            <w:tcW w:w="351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B32000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Higher-quality sources were prioritized when values conflicted; assumptions were checked through benchmark comparison and uncertainty testing.</w:t>
            </w:r>
          </w:p>
        </w:tc>
        <w:tc>
          <w:tcPr>
            <w:tcW w:w="324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DF7EA3" w14:textId="77777777" w:rsidR="00224D05" w:rsidRPr="00A873EB" w:rsidRDefault="00792226">
            <w:pPr>
              <w:spacing w:after="0" w:line="240" w:lineRule="auto"/>
              <w:rPr>
                <w:sz w:val="18"/>
                <w:szCs w:val="18"/>
              </w:rPr>
            </w:pPr>
            <w:r w:rsidRPr="00A873EB">
              <w:rPr>
                <w:sz w:val="18"/>
                <w:szCs w:val="18"/>
              </w:rPr>
              <w:t>Supports transparency, reproducibility, and reviewer auditability.</w:t>
            </w:r>
          </w:p>
        </w:tc>
      </w:tr>
    </w:tbl>
    <w:p w14:paraId="01426AB0" w14:textId="77777777" w:rsidR="00224D05" w:rsidRDefault="00792226">
      <w:pPr>
        <w:pStyle w:val="SupplementNote"/>
      </w:pPr>
      <w:r>
        <w:rPr>
          <w:i/>
        </w:rPr>
        <w:t xml:space="preserve">Note. </w:t>
      </w:r>
      <w:r>
        <w:t>Uncertainty ranges reflect the bounds reported in the revised methodology and are applied according to parameter type and source quality.</w:t>
      </w:r>
    </w:p>
    <w:p w14:paraId="6C03A1C6" w14:textId="2FB48382" w:rsidR="00224D05" w:rsidRDefault="00224D05"/>
    <w:p w14:paraId="62621FD7" w14:textId="77777777" w:rsidR="00224D05" w:rsidRDefault="00792226">
      <w:pPr>
        <w:pStyle w:val="AppendixHeading"/>
      </w:pPr>
      <w:r>
        <w:t>Appendix C. Life-cycle inventory structure</w:t>
      </w:r>
    </w:p>
    <w:p w14:paraId="696C6AAC" w14:textId="77777777" w:rsidR="00224D05" w:rsidRDefault="00792226">
      <w:pPr>
        <w:pStyle w:val="SupplementCaption"/>
      </w:pPr>
      <w:r>
        <w:rPr>
          <w:b/>
          <w:i w:val="0"/>
        </w:rPr>
        <w:t>Table A3. LCA inventory modules, assumptions, uncertainty ranges, and model roles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2745"/>
        <w:gridCol w:w="2075"/>
        <w:gridCol w:w="1656"/>
        <w:gridCol w:w="2399"/>
        <w:gridCol w:w="1975"/>
        <w:gridCol w:w="1152"/>
        <w:gridCol w:w="1678"/>
      </w:tblGrid>
      <w:tr w:rsidR="00224D05" w:rsidRPr="00412917" w14:paraId="526BE0DD" w14:textId="77777777" w:rsidTr="00A873EB">
        <w:trPr>
          <w:tblHeader/>
          <w:jc w:val="center"/>
        </w:trPr>
        <w:tc>
          <w:tcPr>
            <w:tcW w:w="147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45341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LCI Module</w:t>
            </w:r>
          </w:p>
        </w:tc>
        <w:tc>
          <w:tcPr>
            <w:tcW w:w="2745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EBDD2D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Key Parameters</w:t>
            </w:r>
          </w:p>
        </w:tc>
        <w:tc>
          <w:tcPr>
            <w:tcW w:w="2075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90CF35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Unit</w:t>
            </w:r>
          </w:p>
        </w:tc>
        <w:tc>
          <w:tcPr>
            <w:tcW w:w="1656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69DF2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Main Source Type</w:t>
            </w:r>
          </w:p>
        </w:tc>
        <w:tc>
          <w:tcPr>
            <w:tcW w:w="2399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A285CE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Main Assumption</w:t>
            </w:r>
          </w:p>
        </w:tc>
        <w:tc>
          <w:tcPr>
            <w:tcW w:w="1975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F3F0DF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Allocation / Treatment</w:t>
            </w:r>
          </w:p>
        </w:tc>
        <w:tc>
          <w:tcPr>
            <w:tcW w:w="115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6C8E5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Uncertainty Range</w:t>
            </w:r>
          </w:p>
        </w:tc>
        <w:tc>
          <w:tcPr>
            <w:tcW w:w="167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9CF4E5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Role in LCA Model</w:t>
            </w:r>
          </w:p>
        </w:tc>
      </w:tr>
      <w:tr w:rsidR="00224D05" w:rsidRPr="00412917" w14:paraId="395F44CE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9E58CD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Aircraft mission profile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C17422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Stage length, seating capacity, load factor, mission frequency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91170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km; passengers; %; flights/year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2CC60D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OEM/NASA concepts; peer-reviewed studies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B6B32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Representative supersonic missions are matched with comparable subsonic long-haul operations.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0364CA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Used to calculate RPK and mission-level outputs.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3E64C2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±10–30%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AC5C5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Defines denominator for g CO₂-eq/RPK and total g CO₂-eq/mission.</w:t>
            </w:r>
          </w:p>
        </w:tc>
      </w:tr>
      <w:tr w:rsidR="00224D05" w:rsidRPr="00412917" w14:paraId="464E63D5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DF6C7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Aircraft performance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505AE9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Cruise Mach, altitude, SFC, lift-to-drag ratio, block fuel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BC5C08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Mach; ft; kg fuel/</w:t>
            </w:r>
            <w:proofErr w:type="spellStart"/>
            <w:r w:rsidRPr="00412917">
              <w:rPr>
                <w:sz w:val="14"/>
                <w:szCs w:val="14"/>
              </w:rPr>
              <w:t>hr</w:t>
            </w:r>
            <w:proofErr w:type="spellEnd"/>
            <w:r w:rsidRPr="00412917">
              <w:rPr>
                <w:sz w:val="14"/>
                <w:szCs w:val="14"/>
              </w:rPr>
              <w:t>; L/D; kg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A23925E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NASA/OEM data; technical literature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B31CD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Supersonic performance is estimated from published concept ranges and benchmarked against A350/787-type subsonic data.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65D473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Direct input to operational fuel-burn model.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93F4AD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±10–25%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1E73D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Drives operational emissions, fuel use, and energy intensity.</w:t>
            </w:r>
          </w:p>
        </w:tc>
      </w:tr>
      <w:tr w:rsidR="00224D05" w:rsidRPr="00412917" w14:paraId="4E5A87C6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58B7B9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Materials and components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8D09C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Aluminum, titanium, composites, engine materials, fasteners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BCDB6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kg; kg CO₂-eq/kg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39DC88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LCI databases; aircraft materials literature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CE064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Advanced supersonic airframes require higher shares of lightweight and high-temperature materials.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D3A67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Material burdens assigned by mass-based inventory factors.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A5E072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±20–30%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A05E9D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Estimates embodied emissions and resource demand.</w:t>
            </w:r>
          </w:p>
        </w:tc>
      </w:tr>
      <w:tr w:rsidR="00224D05" w:rsidRPr="00412917" w14:paraId="04F9E1E9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178F80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Manufacturing and assembly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E8C96F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Process energy, machining waste, assembly energy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84A069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MJ; kg waste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0ABB02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LCI databases; OEM/technical reports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B4ED8E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Manufacturing energy reflects advanced airframe and propulsion complexity.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0A3268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Process energy allocated to aircraft production stage.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3CA71D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±20–30%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E3A33B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Estimates production-phase impacts.</w:t>
            </w:r>
          </w:p>
        </w:tc>
      </w:tr>
      <w:tr w:rsidR="00224D05" w:rsidRPr="00412917" w14:paraId="5AE3FCEE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5C507C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Fuel pathways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88584C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Jet-A, HEFA-SAF, FT-SAF, ATJ-SAF, LH₂ carbon intensity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B03EBF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g CO₂-eq/MJ; MJ/kg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63C9E1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 xml:space="preserve">GREET; </w:t>
            </w:r>
            <w:proofErr w:type="spellStart"/>
            <w:r w:rsidRPr="00412917">
              <w:rPr>
                <w:sz w:val="14"/>
                <w:szCs w:val="14"/>
              </w:rPr>
              <w:t>ecoinvent</w:t>
            </w:r>
            <w:proofErr w:type="spellEnd"/>
            <w:r w:rsidRPr="00412917">
              <w:rPr>
                <w:sz w:val="14"/>
                <w:szCs w:val="14"/>
              </w:rPr>
              <w:t>; SAF/LH₂ studies; ASTM-related literature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4481D4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Fuel pathways are assessed on a well-to-wake basis.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355845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Co-products allocated using source-specific energy, mass, or economic rules.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87EFAA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±15–40%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0200C3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Determines fuel-cycle emissions and pathway comparison.</w:t>
            </w:r>
          </w:p>
        </w:tc>
      </w:tr>
      <w:tr w:rsidR="00224D05" w:rsidRPr="00412917" w14:paraId="71C2E9FA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6B1C6B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Hydrogen pathway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2E1EBE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Electrolysis electricity intensity, grid carbon intensity, liquefaction energy, boil-off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5E522F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kWh/kg H₂; g CO₂-eq/kWh; %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83DC3E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Hydrogen LCI studies; energy-system reports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A52A71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LH₂ benefits depend on low-carbon electricity and airport supply-chain readiness.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59E486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Liquefaction and boil-off included in well-to-wake boundary.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A0E0B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±20–50%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D9A606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Tests conditional viability of LH₂ scenarios.</w:t>
            </w:r>
          </w:p>
        </w:tc>
      </w:tr>
      <w:tr w:rsidR="00224D05" w:rsidRPr="00412917" w14:paraId="30BAA172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9705B1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Operations and maintenance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C24A78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Mission fuel burn, lubricants, spare parts, MRO energy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AF980B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kg fuel; MJ; kg parts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68852F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Airline/MRO reports; technical studies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CA35D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 xml:space="preserve">Operations dominate </w:t>
            </w:r>
            <w:proofErr w:type="gramStart"/>
            <w:r w:rsidRPr="00412917">
              <w:rPr>
                <w:sz w:val="14"/>
                <w:szCs w:val="14"/>
              </w:rPr>
              <w:t>life-cycle</w:t>
            </w:r>
            <w:proofErr w:type="gramEnd"/>
            <w:r w:rsidRPr="00412917">
              <w:rPr>
                <w:sz w:val="14"/>
                <w:szCs w:val="14"/>
              </w:rPr>
              <w:t xml:space="preserve"> impacts because of high supersonic fuel intensity.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8043CF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Directly assigned to use phase.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B639B5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±10–25%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D0C8F8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Main contributor to GWP100 and energy demand.</w:t>
            </w:r>
          </w:p>
        </w:tc>
      </w:tr>
      <w:tr w:rsidR="00224D05" w:rsidRPr="00412917" w14:paraId="47C480F8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D0539B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High-altitude emissions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2415D6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NOₓ-induced ozone, stratospheric H₂O, non-CO₂ forcing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6672E2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g CO₂-eq/RPK; g CO₂-eq/mission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52252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Atmospheric modeling studies; ICAO/CAEP literature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682AA7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Non-CO₂ effects are included because supersonic cruise altitude affects radiative forcing.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2390835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Characterization factors applied separately from direct CO₂.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FCB44B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±30–50%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9D6F53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Expands climate assessment beyond CO₂-only accounting.</w:t>
            </w:r>
          </w:p>
        </w:tc>
      </w:tr>
      <w:tr w:rsidR="00224D05" w:rsidRPr="00412917" w14:paraId="1EA312F9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947E50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End-of-life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BEA332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Metal recovery, composite recycling, disposal, waste treatment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8790BA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% recovery; kg CO₂-eq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C80810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LCI databases; recycling literature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EA1526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Metals have higher recovery potential than composites.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3A0349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Recovery credits applied where supported by source data.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9CCF00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±20–40%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BE17C8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Estimates circularity benefits and residual disposal burden.</w:t>
            </w:r>
          </w:p>
        </w:tc>
      </w:tr>
      <w:tr w:rsidR="00224D05" w:rsidRPr="00412917" w14:paraId="49F443C0" w14:textId="77777777" w:rsidTr="00A873EB">
        <w:trPr>
          <w:jc w:val="center"/>
        </w:trPr>
        <w:tc>
          <w:tcPr>
            <w:tcW w:w="147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1BA096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b/>
                <w:sz w:val="14"/>
                <w:szCs w:val="14"/>
              </w:rPr>
              <w:t>Quality and validation</w:t>
            </w:r>
          </w:p>
        </w:tc>
        <w:tc>
          <w:tcPr>
            <w:tcW w:w="274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EC9B4B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Unit checks, source hierarchy, benchmark comparison, sensitivity testing</w:t>
            </w:r>
          </w:p>
        </w:tc>
        <w:tc>
          <w:tcPr>
            <w:tcW w:w="20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0E6F60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n/a</w:t>
            </w:r>
          </w:p>
        </w:tc>
        <w:tc>
          <w:tcPr>
            <w:tcW w:w="165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D39BA0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Regulatory, OEM, database, and peer-reviewed sources</w:t>
            </w:r>
          </w:p>
        </w:tc>
        <w:tc>
          <w:tcPr>
            <w:tcW w:w="2399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063C98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Higher-quality sources are prioritized when values conflict.</w:t>
            </w:r>
          </w:p>
        </w:tc>
        <w:tc>
          <w:tcPr>
            <w:tcW w:w="19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4F433F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Pedigree and consistency checks applied before scenario modeling.</w:t>
            </w:r>
          </w:p>
        </w:tc>
        <w:tc>
          <w:tcPr>
            <w:tcW w:w="115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D3B24A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Parameter-specific</w:t>
            </w:r>
          </w:p>
        </w:tc>
        <w:tc>
          <w:tcPr>
            <w:tcW w:w="167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6B71AA" w14:textId="77777777" w:rsidR="00224D05" w:rsidRPr="00412917" w:rsidRDefault="00792226">
            <w:pPr>
              <w:spacing w:after="0" w:line="240" w:lineRule="auto"/>
              <w:rPr>
                <w:sz w:val="14"/>
                <w:szCs w:val="14"/>
              </w:rPr>
            </w:pPr>
            <w:r w:rsidRPr="00412917">
              <w:rPr>
                <w:sz w:val="14"/>
                <w:szCs w:val="14"/>
              </w:rPr>
              <w:t>Supports transparency, reproducibility, and reviewer auditability.</w:t>
            </w:r>
          </w:p>
        </w:tc>
      </w:tr>
    </w:tbl>
    <w:p w14:paraId="3AD7F10C" w14:textId="77777777" w:rsidR="00224D05" w:rsidRDefault="00792226">
      <w:pPr>
        <w:pStyle w:val="SupplementNote"/>
      </w:pPr>
      <w:r>
        <w:rPr>
          <w:i/>
        </w:rPr>
        <w:lastRenderedPageBreak/>
        <w:t xml:space="preserve">Note. </w:t>
      </w:r>
      <w:r>
        <w:t>LCA = life cycle assessment; LCI = life cycle inventory; RPK = revenue passenger-</w:t>
      </w:r>
      <w:proofErr w:type="spellStart"/>
      <w:r>
        <w:t>kilometre</w:t>
      </w:r>
      <w:proofErr w:type="spellEnd"/>
      <w:r>
        <w:t>; SFC = specific fuel consumption; LH2 = liquid hydrogen.</w:t>
      </w:r>
    </w:p>
    <w:p w14:paraId="09471A1A" w14:textId="3B25D729" w:rsidR="00224D05" w:rsidRDefault="00224D05"/>
    <w:p w14:paraId="07C10887" w14:textId="77777777" w:rsidR="00224D05" w:rsidRDefault="00792226">
      <w:pPr>
        <w:pStyle w:val="AppendixHeading"/>
      </w:pPr>
      <w:r>
        <w:t>Appendix D. Life-cycle contribution analysis</w:t>
      </w:r>
    </w:p>
    <w:p w14:paraId="1370D58C" w14:textId="77777777" w:rsidR="00224D05" w:rsidRDefault="00792226">
      <w:pPr>
        <w:pStyle w:val="SupplementCaption"/>
      </w:pPr>
      <w:r>
        <w:rPr>
          <w:b/>
          <w:i w:val="0"/>
        </w:rPr>
        <w:t>Table A4. Contribution analysis by life-cycle stage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1872"/>
        <w:gridCol w:w="1872"/>
        <w:gridCol w:w="1872"/>
        <w:gridCol w:w="1872"/>
      </w:tblGrid>
      <w:tr w:rsidR="00224D05" w14:paraId="5D75B31D" w14:textId="77777777" w:rsidTr="00D70DA2">
        <w:trPr>
          <w:tblHeader/>
        </w:trPr>
        <w:tc>
          <w:tcPr>
            <w:tcW w:w="302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BD1FAB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Life-Cycle Stage</w:t>
            </w:r>
          </w:p>
        </w:tc>
        <w:tc>
          <w:tcPr>
            <w:tcW w:w="187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74CBB8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CO₂ Emissions (%)</w:t>
            </w:r>
          </w:p>
        </w:tc>
        <w:tc>
          <w:tcPr>
            <w:tcW w:w="187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B84190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Energy Demand (%)</w:t>
            </w:r>
          </w:p>
        </w:tc>
        <w:tc>
          <w:tcPr>
            <w:tcW w:w="187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B8048F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Resource Use (%)</w:t>
            </w:r>
          </w:p>
        </w:tc>
        <w:tc>
          <w:tcPr>
            <w:tcW w:w="187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93B439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Noise Impact (%)</w:t>
            </w:r>
          </w:p>
        </w:tc>
      </w:tr>
      <w:tr w:rsidR="00224D05" w14:paraId="3ED2B1BE" w14:textId="77777777" w:rsidTr="00D70DA2">
        <w:tc>
          <w:tcPr>
            <w:tcW w:w="302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655986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Manufacturing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281211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25%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49EC58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20%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FCC176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35%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96AF5F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5%</w:t>
            </w:r>
          </w:p>
        </w:tc>
      </w:tr>
      <w:tr w:rsidR="00224D05" w14:paraId="04D4C356" w14:textId="77777777" w:rsidTr="00D70DA2">
        <w:tc>
          <w:tcPr>
            <w:tcW w:w="302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F9A4E2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Operations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374A4C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65%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29F111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70%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120080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50%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AA1AD8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90%</w:t>
            </w:r>
          </w:p>
        </w:tc>
      </w:tr>
      <w:tr w:rsidR="00224D05" w14:paraId="76679D7D" w14:textId="77777777" w:rsidTr="00D70DA2">
        <w:tc>
          <w:tcPr>
            <w:tcW w:w="302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567F2C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End-of-Life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59BF63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10%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0FEAF0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10%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B4FF50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15%</w:t>
            </w:r>
          </w:p>
        </w:tc>
        <w:tc>
          <w:tcPr>
            <w:tcW w:w="187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B358EF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5%</w:t>
            </w:r>
          </w:p>
        </w:tc>
      </w:tr>
    </w:tbl>
    <w:p w14:paraId="0011CE5B" w14:textId="77777777" w:rsidR="00224D05" w:rsidRDefault="00792226">
      <w:pPr>
        <w:pStyle w:val="SupplementNote"/>
      </w:pPr>
      <w:r>
        <w:rPr>
          <w:i/>
        </w:rPr>
        <w:t xml:space="preserve">Note. </w:t>
      </w:r>
      <w:r>
        <w:t>Percentages are scenario-model contribution shares used to support the comparative life-cycle interpretation in the main article.</w:t>
      </w:r>
    </w:p>
    <w:p w14:paraId="46263BF8" w14:textId="2E1FCB3E" w:rsidR="00224D05" w:rsidRDefault="00224D05"/>
    <w:p w14:paraId="5B62715C" w14:textId="77777777" w:rsidR="008E348D" w:rsidRDefault="008E348D"/>
    <w:p w14:paraId="43D77ACD" w14:textId="77777777" w:rsidR="00224D05" w:rsidRDefault="00792226">
      <w:pPr>
        <w:pStyle w:val="AppendixHeading"/>
      </w:pPr>
      <w:r>
        <w:t>Appendix E. Resource use and recovery potential</w:t>
      </w:r>
    </w:p>
    <w:p w14:paraId="3C8EEC8E" w14:textId="77777777" w:rsidR="00224D05" w:rsidRDefault="00792226">
      <w:pPr>
        <w:pStyle w:val="SupplementCaption"/>
      </w:pPr>
      <w:r>
        <w:rPr>
          <w:b/>
          <w:i w:val="0"/>
        </w:rPr>
        <w:t>Table A5. Resource use and recovery potential across the life cycle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744"/>
        <w:gridCol w:w="1800"/>
        <w:gridCol w:w="2520"/>
      </w:tblGrid>
      <w:tr w:rsidR="00224D05" w14:paraId="77A0D2C6" w14:textId="77777777" w:rsidTr="00D70DA2">
        <w:trPr>
          <w:tblHeader/>
        </w:trPr>
        <w:tc>
          <w:tcPr>
            <w:tcW w:w="2376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15D482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Stage</w:t>
            </w:r>
          </w:p>
        </w:tc>
        <w:tc>
          <w:tcPr>
            <w:tcW w:w="37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865FA9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Key Materials</w:t>
            </w:r>
          </w:p>
        </w:tc>
        <w:tc>
          <w:tcPr>
            <w:tcW w:w="180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10A779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Energy Demand (MJ)</w:t>
            </w:r>
          </w:p>
        </w:tc>
        <w:tc>
          <w:tcPr>
            <w:tcW w:w="252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F56E9A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Recovery Potential (%)</w:t>
            </w:r>
          </w:p>
        </w:tc>
      </w:tr>
      <w:tr w:rsidR="00224D05" w14:paraId="39946792" w14:textId="77777777" w:rsidTr="00D70DA2">
        <w:tc>
          <w:tcPr>
            <w:tcW w:w="237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C2F2B4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Raw Materials &amp; Components</w:t>
            </w:r>
          </w:p>
        </w:tc>
        <w:tc>
          <w:tcPr>
            <w:tcW w:w="37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E5C613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Aluminum, titanium, carbon composites, fasteners</w:t>
            </w:r>
          </w:p>
        </w:tc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EC82EC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5,200</w:t>
            </w:r>
          </w:p>
        </w:tc>
        <w:tc>
          <w:tcPr>
            <w:tcW w:w="25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675E2B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40% (scrap recovery)</w:t>
            </w:r>
          </w:p>
        </w:tc>
      </w:tr>
      <w:tr w:rsidR="00224D05" w14:paraId="6E952798" w14:textId="77777777" w:rsidTr="00D70DA2">
        <w:tc>
          <w:tcPr>
            <w:tcW w:w="237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561E9D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Manufacturing &amp; Assembly</w:t>
            </w:r>
          </w:p>
        </w:tc>
        <w:tc>
          <w:tcPr>
            <w:tcW w:w="37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E126F5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Machining waste, process energy (electricity, heat)</w:t>
            </w:r>
          </w:p>
        </w:tc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A04824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3,800</w:t>
            </w:r>
          </w:p>
        </w:tc>
        <w:tc>
          <w:tcPr>
            <w:tcW w:w="25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FC5D53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25% (process recycling)</w:t>
            </w:r>
          </w:p>
        </w:tc>
      </w:tr>
      <w:tr w:rsidR="00224D05" w14:paraId="62A35A67" w14:textId="77777777" w:rsidTr="00D70DA2">
        <w:tc>
          <w:tcPr>
            <w:tcW w:w="237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1CE887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Fuel Pathways (Well-to-Wake)</w:t>
            </w:r>
          </w:p>
        </w:tc>
        <w:tc>
          <w:tcPr>
            <w:tcW w:w="37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117C0D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Jet-A, SAF, LH₂ (production, liquefaction, distribution)</w:t>
            </w:r>
          </w:p>
        </w:tc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D0E60C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12,500</w:t>
            </w:r>
          </w:p>
        </w:tc>
        <w:tc>
          <w:tcPr>
            <w:tcW w:w="25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1646B5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5% (limited recovery)</w:t>
            </w:r>
          </w:p>
        </w:tc>
      </w:tr>
      <w:tr w:rsidR="00224D05" w14:paraId="69B87D30" w14:textId="77777777" w:rsidTr="00D70DA2">
        <w:tc>
          <w:tcPr>
            <w:tcW w:w="237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D01AA7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Operations &amp; Maintenance</w:t>
            </w:r>
          </w:p>
        </w:tc>
        <w:tc>
          <w:tcPr>
            <w:tcW w:w="37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9B4E76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Aviation fuel, lubricants, spare parts, MRO energy</w:t>
            </w:r>
          </w:p>
        </w:tc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1DDDE2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18,400</w:t>
            </w:r>
          </w:p>
        </w:tc>
        <w:tc>
          <w:tcPr>
            <w:tcW w:w="25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D5F8D9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10% (parts reuse)</w:t>
            </w:r>
          </w:p>
        </w:tc>
      </w:tr>
      <w:tr w:rsidR="00224D05" w14:paraId="23F0DF1B" w14:textId="77777777" w:rsidTr="00D70DA2">
        <w:tc>
          <w:tcPr>
            <w:tcW w:w="237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A78AE7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End-of-Life</w:t>
            </w:r>
          </w:p>
        </w:tc>
        <w:tc>
          <w:tcPr>
            <w:tcW w:w="374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88B268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Airframe/engine disassembly, composites recovery</w:t>
            </w:r>
          </w:p>
        </w:tc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312E9B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2,100</w:t>
            </w:r>
          </w:p>
        </w:tc>
        <w:tc>
          <w:tcPr>
            <w:tcW w:w="25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D59639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60% (metal &amp; component recovery)</w:t>
            </w:r>
          </w:p>
        </w:tc>
      </w:tr>
    </w:tbl>
    <w:p w14:paraId="26237B34" w14:textId="77777777" w:rsidR="008E348D" w:rsidRDefault="008E348D"/>
    <w:p w14:paraId="6AABC37B" w14:textId="3A3A2E44" w:rsidR="00224D05" w:rsidRDefault="00224D05"/>
    <w:p w14:paraId="5A773A1F" w14:textId="77777777" w:rsidR="00224D05" w:rsidRDefault="00792226">
      <w:pPr>
        <w:pStyle w:val="AppendixHeading"/>
      </w:pPr>
      <w:r>
        <w:t>Appendix F. Social and equity indicators</w:t>
      </w:r>
    </w:p>
    <w:p w14:paraId="2AFD9B71" w14:textId="77777777" w:rsidR="00224D05" w:rsidRDefault="00792226">
      <w:pPr>
        <w:pStyle w:val="SupplementCaption"/>
      </w:pPr>
      <w:r>
        <w:rPr>
          <w:b/>
          <w:i w:val="0"/>
        </w:rPr>
        <w:t>Table A6. Social and equity indicators, scales, and scenario values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1980"/>
        <w:gridCol w:w="1008"/>
        <w:gridCol w:w="1080"/>
        <w:gridCol w:w="1080"/>
        <w:gridCol w:w="1080"/>
        <w:gridCol w:w="5202"/>
      </w:tblGrid>
      <w:tr w:rsidR="00224D05" w14:paraId="0AF12ECB" w14:textId="77777777" w:rsidTr="00D70DA2">
        <w:trPr>
          <w:tblHeader/>
        </w:trPr>
        <w:tc>
          <w:tcPr>
            <w:tcW w:w="3325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411245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Indicator</w:t>
            </w:r>
          </w:p>
        </w:tc>
        <w:tc>
          <w:tcPr>
            <w:tcW w:w="198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66C134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Unit / Scale</w:t>
            </w:r>
          </w:p>
        </w:tc>
        <w:tc>
          <w:tcPr>
            <w:tcW w:w="100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0E9D17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Direction</w:t>
            </w:r>
          </w:p>
        </w:tc>
        <w:tc>
          <w:tcPr>
            <w:tcW w:w="108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AD53D8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Reference</w:t>
            </w:r>
          </w:p>
        </w:tc>
        <w:tc>
          <w:tcPr>
            <w:tcW w:w="108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767EA1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Best-case</w:t>
            </w:r>
          </w:p>
        </w:tc>
        <w:tc>
          <w:tcPr>
            <w:tcW w:w="108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E4B563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Worst-case</w:t>
            </w:r>
          </w:p>
        </w:tc>
        <w:tc>
          <w:tcPr>
            <w:tcW w:w="520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0F7B12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Notes / Source Mapping</w:t>
            </w:r>
          </w:p>
        </w:tc>
      </w:tr>
      <w:tr w:rsidR="00224D05" w14:paraId="1D29FA2D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9CDFA3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 xml:space="preserve">Population within </w:t>
            </w:r>
            <w:proofErr w:type="spellStart"/>
            <w:r>
              <w:rPr>
                <w:b/>
                <w:sz w:val="14"/>
              </w:rPr>
              <w:t>L_den</w:t>
            </w:r>
            <w:proofErr w:type="spellEnd"/>
            <w:r>
              <w:rPr>
                <w:b/>
                <w:sz w:val="14"/>
              </w:rPr>
              <w:t xml:space="preserve"> ≥ 65 dB (airport contours)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3C4B67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thousand persons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258A6E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↓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3C79E5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85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1D4187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70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678AEC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120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494006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See main article, Figure 4 (airport-noise contours and community vulnerability).</w:t>
            </w:r>
          </w:p>
        </w:tc>
      </w:tr>
      <w:tr w:rsidR="00224D05" w14:paraId="34E6DEA7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6F5B93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 xml:space="preserve">Population within </w:t>
            </w:r>
            <w:proofErr w:type="spellStart"/>
            <w:r>
              <w:rPr>
                <w:b/>
                <w:sz w:val="14"/>
              </w:rPr>
              <w:t>L_den</w:t>
            </w:r>
            <w:proofErr w:type="spellEnd"/>
            <w:r>
              <w:rPr>
                <w:b/>
                <w:sz w:val="14"/>
              </w:rPr>
              <w:t xml:space="preserve"> ≥ 55 dB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18FE54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thousand persons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E1B3F4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↓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C196DE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320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C5ACF8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290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899CA2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400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4AB3F8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See main article, Figure 4 (airport-noise contours and community vulnerability).</w:t>
            </w:r>
          </w:p>
        </w:tc>
      </w:tr>
      <w:tr w:rsidR="00224D05" w14:paraId="243889F6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F870EE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 xml:space="preserve">Population within </w:t>
            </w:r>
            <w:proofErr w:type="spellStart"/>
            <w:r>
              <w:rPr>
                <w:b/>
                <w:sz w:val="14"/>
              </w:rPr>
              <w:t>PLdB</w:t>
            </w:r>
            <w:proofErr w:type="spellEnd"/>
            <w:r>
              <w:rPr>
                <w:b/>
                <w:sz w:val="14"/>
              </w:rPr>
              <w:t xml:space="preserve"> ≥ 75 (boom corridor)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112025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thousand persons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0B026E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↓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6931BE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60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A6228E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45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88AE4E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95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939E9B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See Appendix L, Figure A5 (boom-corridor/community-vulnerability overlay).</w:t>
            </w:r>
          </w:p>
        </w:tc>
      </w:tr>
      <w:tr w:rsidR="00224D05" w14:paraId="18866783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115A57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Complaint rate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C38962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complaints per 10,000 flights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7A3CE9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↓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7F74FC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22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B7C62E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3ABC5C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38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58F39B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Proxy from noise exposure &amp; literature elasticities</w:t>
            </w:r>
          </w:p>
        </w:tc>
      </w:tr>
      <w:tr w:rsidR="00224D05" w14:paraId="49C74213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3DDD22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Public favorability/sentiment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596BAC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−1 to +1 index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8464F3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↑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21925A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0.05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F83287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0.2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B748DA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−0.15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729B93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Document/survey synthesis</w:t>
            </w:r>
          </w:p>
        </w:tc>
      </w:tr>
      <w:tr w:rsidR="00224D05" w14:paraId="1B565235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3EAD6A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Affordability index (round-trip fare ÷ median monthly income)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8FA589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%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CE2D26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↓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A6BD02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140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ADC407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120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461344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170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5DDF8F" w14:textId="62C1A17B" w:rsidR="00224D05" w:rsidRDefault="008F4CB2">
            <w:pPr>
              <w:spacing w:after="0" w:line="240" w:lineRule="auto"/>
            </w:pPr>
            <w:r w:rsidRPr="008F4CB2">
              <w:rPr>
                <w:sz w:val="14"/>
              </w:rPr>
              <w:t>Linked to the passenger-normalized unit revenue–unit operating cost analysis in Section 4.2 of the main article</w:t>
            </w:r>
          </w:p>
        </w:tc>
      </w:tr>
      <w:tr w:rsidR="00224D05" w14:paraId="50911B73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9C8C40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lastRenderedPageBreak/>
              <w:t>Accessibility coverage (viable city-pairs with ≥2 h time saving)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BD5AA6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count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4B859F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↑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51ED24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0369C0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26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FCC543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28855C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Network viability under scenarios</w:t>
            </w:r>
          </w:p>
        </w:tc>
      </w:tr>
      <w:tr w:rsidR="00224D05" w14:paraId="5221940A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D6DC86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Equity exposure ratio (share of vulnerable pop. among exposed ÷ regional share)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D6E109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ratio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8406BD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↓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034CDD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1.25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A889B5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1.1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B7D347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1.4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30FB32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See Appendix L, Figure A5 (environmental-justice overlay).</w:t>
            </w:r>
          </w:p>
        </w:tc>
      </w:tr>
      <w:tr w:rsidR="00224D05" w14:paraId="44ECF7C8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392C88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Workforce impact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6E42A2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FTE per aircraft (</w:t>
            </w:r>
            <w:proofErr w:type="spellStart"/>
            <w:r>
              <w:rPr>
                <w:sz w:val="14"/>
              </w:rPr>
              <w:t>direct+indirect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FF29FA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↑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FA2F98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450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00908B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520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B5F26D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380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21EF7B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Industry/job creation proxy</w:t>
            </w:r>
          </w:p>
        </w:tc>
      </w:tr>
      <w:tr w:rsidR="00224D05" w14:paraId="3CDFF622" w14:textId="77777777" w:rsidTr="00D70DA2">
        <w:tc>
          <w:tcPr>
            <w:tcW w:w="332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1EA930A" w14:textId="77777777" w:rsidR="00224D05" w:rsidRDefault="00792226">
            <w:pPr>
              <w:spacing w:after="0" w:line="240" w:lineRule="auto"/>
            </w:pPr>
            <w:r>
              <w:rPr>
                <w:b/>
                <w:sz w:val="14"/>
              </w:rPr>
              <w:t>Safety perception</w:t>
            </w:r>
          </w:p>
        </w:tc>
        <w:tc>
          <w:tcPr>
            <w:tcW w:w="19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17C93D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Likert 1–5</w:t>
            </w:r>
          </w:p>
        </w:tc>
        <w:tc>
          <w:tcPr>
            <w:tcW w:w="10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900480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↑ better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096616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3.6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9E2DB0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3.9</w:t>
            </w:r>
          </w:p>
        </w:tc>
        <w:tc>
          <w:tcPr>
            <w:tcW w:w="10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4B8EA8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3.2</w:t>
            </w:r>
          </w:p>
        </w:tc>
        <w:tc>
          <w:tcPr>
            <w:tcW w:w="5202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AC9515" w14:textId="77777777" w:rsidR="00224D05" w:rsidRDefault="00792226">
            <w:pPr>
              <w:spacing w:after="0" w:line="240" w:lineRule="auto"/>
            </w:pPr>
            <w:r>
              <w:rPr>
                <w:sz w:val="14"/>
              </w:rPr>
              <w:t>Expert/document coding</w:t>
            </w:r>
          </w:p>
        </w:tc>
      </w:tr>
    </w:tbl>
    <w:p w14:paraId="76F25655" w14:textId="77777777" w:rsidR="00224D05" w:rsidRDefault="00792226">
      <w:pPr>
        <w:pStyle w:val="SupplementNote"/>
      </w:pPr>
      <w:r>
        <w:rPr>
          <w:i/>
        </w:rPr>
        <w:t xml:space="preserve">Note. </w:t>
      </w:r>
      <w:r>
        <w:t>Arrows indicate the preferred direction of performance. Public-favorability and safety-perception values are document/survey-synthesis proxies rather than primary survey observations. Figure references identify the visualization supporting the spatial interpretation.</w:t>
      </w:r>
    </w:p>
    <w:p w14:paraId="42F45913" w14:textId="77777777" w:rsidR="00A873EB" w:rsidRDefault="00A873EB" w:rsidP="00A873EB"/>
    <w:p w14:paraId="20A46F0C" w14:textId="77777777" w:rsidR="00A873EB" w:rsidRDefault="00A873EB" w:rsidP="00A873EB"/>
    <w:p w14:paraId="3B669B62" w14:textId="04CAA070" w:rsidR="00224D05" w:rsidRPr="00F02529" w:rsidRDefault="00792226" w:rsidP="00A873EB">
      <w:pPr>
        <w:tabs>
          <w:tab w:val="left" w:pos="2712"/>
        </w:tabs>
        <w:rPr>
          <w:b/>
          <w:bCs/>
        </w:rPr>
      </w:pPr>
      <w:r w:rsidRPr="00F02529">
        <w:rPr>
          <w:b/>
          <w:bCs/>
        </w:rPr>
        <w:t>Appendix G. Implementation actions</w:t>
      </w:r>
    </w:p>
    <w:p w14:paraId="6A63C52F" w14:textId="77777777" w:rsidR="00224D05" w:rsidRDefault="00792226">
      <w:pPr>
        <w:pStyle w:val="SupplementCaption"/>
      </w:pPr>
      <w:r>
        <w:rPr>
          <w:b/>
          <w:i w:val="0"/>
        </w:rPr>
        <w:t>Table A7. Stakeholder-specific implementation actions for sustainable supersonic aviation transition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735"/>
        <w:gridCol w:w="5220"/>
      </w:tblGrid>
      <w:tr w:rsidR="00224D05" w14:paraId="5F15441E" w14:textId="77777777" w:rsidTr="00D70DA2">
        <w:trPr>
          <w:tblHeader/>
        </w:trPr>
        <w:tc>
          <w:tcPr>
            <w:tcW w:w="180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9079F6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Stakeholder</w:t>
            </w:r>
          </w:p>
        </w:tc>
        <w:tc>
          <w:tcPr>
            <w:tcW w:w="7735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A39CB3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Priority Actions</w:t>
            </w:r>
          </w:p>
        </w:tc>
        <w:tc>
          <w:tcPr>
            <w:tcW w:w="5220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BF39B2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Transition Value</w:t>
            </w:r>
          </w:p>
        </w:tc>
      </w:tr>
      <w:tr w:rsidR="00224D05" w14:paraId="0E7B8974" w14:textId="77777777" w:rsidTr="00D70DA2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E326AA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OEMs</w:t>
            </w:r>
          </w:p>
        </w:tc>
        <w:tc>
          <w:tcPr>
            <w:tcW w:w="773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4F1396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Improve energy intensity, low-boom design, propulsion efficiency, lightweighting, and design-for-recycling.</w:t>
            </w:r>
          </w:p>
        </w:tc>
        <w:tc>
          <w:tcPr>
            <w:tcW w:w="52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AF3470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 xml:space="preserve">Reduces fuel </w:t>
            </w:r>
            <w:proofErr w:type="gramStart"/>
            <w:r>
              <w:rPr>
                <w:sz w:val="16"/>
              </w:rPr>
              <w:t>burn</w:t>
            </w:r>
            <w:proofErr w:type="gramEnd"/>
            <w:r>
              <w:rPr>
                <w:sz w:val="16"/>
              </w:rPr>
              <w:t xml:space="preserve">, emissions, noise </w:t>
            </w:r>
            <w:proofErr w:type="gramStart"/>
            <w:r>
              <w:rPr>
                <w:sz w:val="16"/>
              </w:rPr>
              <w:t>burden</w:t>
            </w:r>
            <w:proofErr w:type="gramEnd"/>
            <w:r>
              <w:rPr>
                <w:sz w:val="16"/>
              </w:rPr>
              <w:t>, and lifecycle impacts.</w:t>
            </w:r>
          </w:p>
        </w:tc>
      </w:tr>
      <w:tr w:rsidR="00224D05" w14:paraId="652E434D" w14:textId="77777777" w:rsidTr="00D70DA2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54D5AC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Airlines</w:t>
            </w:r>
          </w:p>
        </w:tc>
        <w:tc>
          <w:tcPr>
            <w:tcW w:w="773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95F99B" w14:textId="28C9911A" w:rsidR="00224D05" w:rsidRDefault="00B3520B">
            <w:pPr>
              <w:spacing w:after="0" w:line="240" w:lineRule="auto"/>
            </w:pPr>
            <w:r w:rsidRPr="00B3520B">
              <w:rPr>
                <w:sz w:val="16"/>
              </w:rPr>
              <w:t>Screen high-yield routes, maintain positive passenger-normalized revenue–cost margins, optimize flight profiles, and secure verified SAF offtake</w:t>
            </w:r>
          </w:p>
        </w:tc>
        <w:tc>
          <w:tcPr>
            <w:tcW w:w="52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958C25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Supports commercial viability while reducing fuel and carbon-risk exposure.</w:t>
            </w:r>
          </w:p>
        </w:tc>
      </w:tr>
      <w:tr w:rsidR="00224D05" w14:paraId="17524972" w14:textId="77777777" w:rsidTr="00D70DA2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D8D556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Airports</w:t>
            </w:r>
          </w:p>
        </w:tc>
        <w:tc>
          <w:tcPr>
            <w:tcW w:w="773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7D2174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Expand noise monitoring, SAF logistics, exposure mapping, and phased LH₂ readiness gates.</w:t>
            </w:r>
          </w:p>
        </w:tc>
        <w:tc>
          <w:tcPr>
            <w:tcW w:w="52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A79377A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Enables infrastructure readiness and protects communities from unmanaged exposure.</w:t>
            </w:r>
          </w:p>
        </w:tc>
      </w:tr>
      <w:tr w:rsidR="00224D05" w14:paraId="19A36FA8" w14:textId="77777777" w:rsidTr="00D70DA2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D85349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Fuel suppliers</w:t>
            </w:r>
          </w:p>
        </w:tc>
        <w:tc>
          <w:tcPr>
            <w:tcW w:w="773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FFEC30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Provide low-carbon fuel supply, lifecycle carbon-intensity data, feedstock traceability, and certification evidence.</w:t>
            </w:r>
          </w:p>
        </w:tc>
        <w:tc>
          <w:tcPr>
            <w:tcW w:w="52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14D104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Strengthens fuel credibility, MRV, and decarbonization claims.</w:t>
            </w:r>
          </w:p>
        </w:tc>
      </w:tr>
      <w:tr w:rsidR="00224D05" w14:paraId="50208F92" w14:textId="77777777" w:rsidTr="00D70DA2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FF3468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Regulators</w:t>
            </w:r>
          </w:p>
        </w:tc>
        <w:tc>
          <w:tcPr>
            <w:tcW w:w="773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28A5259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 xml:space="preserve">Apply lifecycle MRV, </w:t>
            </w:r>
            <w:proofErr w:type="spellStart"/>
            <w:r>
              <w:rPr>
                <w:sz w:val="16"/>
              </w:rPr>
              <w:t>PLdB</w:t>
            </w:r>
            <w:proofErr w:type="spellEnd"/>
            <w:r>
              <w:rPr>
                <w:sz w:val="16"/>
              </w:rPr>
              <w:t xml:space="preserve"> governance, SAF mandates/incentives, carbon pricing, and EJ safeguards.</w:t>
            </w:r>
          </w:p>
        </w:tc>
        <w:tc>
          <w:tcPr>
            <w:tcW w:w="52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85EEA1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Aligns SST deployment with climate policy, noise control, and social acceptance.</w:t>
            </w:r>
          </w:p>
        </w:tc>
      </w:tr>
      <w:tr w:rsidR="00224D05" w14:paraId="7880A025" w14:textId="77777777" w:rsidTr="00D70DA2">
        <w:tc>
          <w:tcPr>
            <w:tcW w:w="18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30C243" w14:textId="77777777" w:rsidR="00224D05" w:rsidRDefault="00792226">
            <w:pPr>
              <w:spacing w:after="0" w:line="240" w:lineRule="auto"/>
            </w:pPr>
            <w:r>
              <w:rPr>
                <w:b/>
                <w:sz w:val="16"/>
              </w:rPr>
              <w:t>Communities and stakeholders</w:t>
            </w:r>
          </w:p>
        </w:tc>
        <w:tc>
          <w:tcPr>
            <w:tcW w:w="773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993F3C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Support public disclosure, complaint-response systems, consultation, and environmental-justice screening.</w:t>
            </w:r>
          </w:p>
        </w:tc>
        <w:tc>
          <w:tcPr>
            <w:tcW w:w="522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1BB1CC" w14:textId="77777777" w:rsidR="00224D05" w:rsidRDefault="00792226">
            <w:pPr>
              <w:spacing w:after="0" w:line="240" w:lineRule="auto"/>
            </w:pPr>
            <w:r>
              <w:rPr>
                <w:sz w:val="16"/>
              </w:rPr>
              <w:t>Improves legitimacy and reduces disproportionate exposure risks.</w:t>
            </w:r>
          </w:p>
        </w:tc>
      </w:tr>
    </w:tbl>
    <w:p w14:paraId="4AC1E6FF" w14:textId="77777777" w:rsidR="008E348D" w:rsidRDefault="008E348D"/>
    <w:p w14:paraId="798C9EC1" w14:textId="0BC7A60C" w:rsidR="00224D05" w:rsidRDefault="00224D05"/>
    <w:p w14:paraId="22B340EF" w14:textId="77777777" w:rsidR="00224D05" w:rsidRDefault="00792226">
      <w:pPr>
        <w:pStyle w:val="AppendixHeading"/>
      </w:pPr>
      <w:r>
        <w:lastRenderedPageBreak/>
        <w:t>Appendix H. Data provenance and integration pipeline</w:t>
      </w:r>
    </w:p>
    <w:p w14:paraId="51CEDD2D" w14:textId="77777777" w:rsidR="00224D05" w:rsidRDefault="00792226">
      <w:pPr>
        <w:pStyle w:val="SupplementCaption"/>
      </w:pPr>
      <w:r>
        <w:rPr>
          <w:b/>
          <w:i w:val="0"/>
        </w:rPr>
        <w:t>Figure A1. Data provenance and integration pipeline supporting the SSTAM analysis.</w:t>
      </w:r>
    </w:p>
    <w:p w14:paraId="0807E4B6" w14:textId="77777777" w:rsidR="00224D05" w:rsidRDefault="00792226" w:rsidP="0043131B">
      <w:r>
        <w:rPr>
          <w:noProof/>
        </w:rPr>
        <w:drawing>
          <wp:inline distT="0" distB="0" distL="0" distR="0" wp14:anchorId="016377FC" wp14:editId="5D9B290E">
            <wp:extent cx="6537960" cy="367588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A1_corrected_final.pn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DDA08" w14:textId="77777777" w:rsidR="00224D05" w:rsidRDefault="00792226">
      <w:pPr>
        <w:pStyle w:val="SupplementNote"/>
      </w:pPr>
      <w:r>
        <w:rPr>
          <w:i/>
        </w:rPr>
        <w:t xml:space="preserve">Note. </w:t>
      </w:r>
      <w:r>
        <w:t>Secondary evidence is harmonized, quality-scored, logged for assumptions and uncertainty, and integrated through LCA, TBL/SSTAM evidence building, and MCDA to produce comparative sustainability outputs.</w:t>
      </w:r>
    </w:p>
    <w:p w14:paraId="27023C6D" w14:textId="77777777" w:rsidR="00224D05" w:rsidRDefault="00792226">
      <w:r>
        <w:br w:type="page"/>
      </w:r>
    </w:p>
    <w:p w14:paraId="1BD4DB12" w14:textId="77777777" w:rsidR="00224D05" w:rsidRDefault="00792226">
      <w:pPr>
        <w:pStyle w:val="AppendixHeading"/>
      </w:pPr>
      <w:r>
        <w:lastRenderedPageBreak/>
        <w:t>Appendix I. Literature-screening flow</w:t>
      </w:r>
    </w:p>
    <w:p w14:paraId="4FE5013A" w14:textId="77777777" w:rsidR="00224D05" w:rsidRDefault="00792226">
      <w:pPr>
        <w:pStyle w:val="SupplementCaption"/>
        <w:rPr>
          <w:b/>
          <w:i w:val="0"/>
        </w:rPr>
      </w:pPr>
      <w:r>
        <w:rPr>
          <w:b/>
          <w:i w:val="0"/>
        </w:rPr>
        <w:t xml:space="preserve">Figure A2. PRISMA </w:t>
      </w:r>
      <w:proofErr w:type="gramStart"/>
      <w:r>
        <w:rPr>
          <w:b/>
          <w:i w:val="0"/>
        </w:rPr>
        <w:t>flow</w:t>
      </w:r>
      <w:proofErr w:type="gramEnd"/>
      <w:r>
        <w:rPr>
          <w:b/>
          <w:i w:val="0"/>
        </w:rPr>
        <w:t xml:space="preserve"> for the literature corpus (2018-2025).</w:t>
      </w:r>
    </w:p>
    <w:p w14:paraId="4889DECF" w14:textId="77777777" w:rsidR="0043131B" w:rsidRDefault="0043131B">
      <w:pPr>
        <w:pStyle w:val="SupplementCaption"/>
      </w:pPr>
    </w:p>
    <w:p w14:paraId="276F5DA4" w14:textId="634B3FA7" w:rsidR="00412917" w:rsidRPr="00412917" w:rsidRDefault="00412917" w:rsidP="0043131B">
      <w:pPr>
        <w:rPr>
          <w:lang w:val="en-PH"/>
        </w:rPr>
      </w:pPr>
      <w:r w:rsidRPr="00412917">
        <w:rPr>
          <w:noProof/>
          <w:lang w:val="en-PH"/>
        </w:rPr>
        <w:drawing>
          <wp:inline distT="0" distB="0" distL="0" distR="0" wp14:anchorId="129CE0F9" wp14:editId="72B96BC3">
            <wp:extent cx="4366260" cy="1622267"/>
            <wp:effectExtent l="0" t="0" r="0" b="0"/>
            <wp:docPr id="992804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95" b="15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748" cy="162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E4D32" w14:textId="77777777" w:rsidR="00224D05" w:rsidRDefault="00792226">
      <w:pPr>
        <w:pStyle w:val="SupplementNote"/>
      </w:pPr>
      <w:r>
        <w:rPr>
          <w:i/>
        </w:rPr>
        <w:t xml:space="preserve">Note. </w:t>
      </w:r>
      <w:r>
        <w:t>The flow summarizes identification, de-duplication, screening, eligibility assessment, and inclusion of records used in the synthesis.</w:t>
      </w:r>
    </w:p>
    <w:p w14:paraId="5AA574AB" w14:textId="77777777" w:rsidR="0043131B" w:rsidRDefault="0043131B">
      <w:pPr>
        <w:pStyle w:val="AppendixHeading"/>
        <w:rPr>
          <w:lang w:val="it-IT"/>
        </w:rPr>
      </w:pPr>
    </w:p>
    <w:p w14:paraId="33BE141C" w14:textId="6C357A65" w:rsidR="00224D05" w:rsidRPr="008E348D" w:rsidRDefault="00792226">
      <w:pPr>
        <w:pStyle w:val="AppendixHeading"/>
        <w:rPr>
          <w:lang w:val="it-IT"/>
        </w:rPr>
      </w:pPr>
      <w:r w:rsidRPr="008E348D">
        <w:rPr>
          <w:lang w:val="it-IT"/>
        </w:rPr>
        <w:t>Appendix J. Economic scenario comparison</w:t>
      </w:r>
    </w:p>
    <w:p w14:paraId="598C9A50" w14:textId="43728296" w:rsidR="00224D05" w:rsidRDefault="00483F05" w:rsidP="00483F05">
      <w:pPr>
        <w:pStyle w:val="SupplementCaption"/>
      </w:pPr>
      <w:r>
        <w:rPr>
          <w:b/>
          <w:i w:val="0"/>
          <w:lang w:val="it-IT"/>
        </w:rPr>
        <w:t>F</w:t>
      </w:r>
      <w:r w:rsidR="00792226" w:rsidRPr="008E348D">
        <w:rPr>
          <w:b/>
          <w:i w:val="0"/>
          <w:lang w:val="it-IT"/>
        </w:rPr>
        <w:t xml:space="preserve">igure A3. </w:t>
      </w:r>
      <w:r w:rsidRPr="00483F05">
        <w:rPr>
          <w:b/>
          <w:i w:val="0"/>
        </w:rPr>
        <w:t>Passenger-normalized unit operating cost by scenario (USD/RPK).</w:t>
      </w:r>
    </w:p>
    <w:p w14:paraId="37AB25DC" w14:textId="0AC959EA" w:rsidR="00483F05" w:rsidRDefault="00483F05">
      <w:pPr>
        <w:pStyle w:val="SupplementNote"/>
        <w:rPr>
          <w:i/>
        </w:rPr>
      </w:pPr>
    </w:p>
    <w:p w14:paraId="63A5243F" w14:textId="44C5C530" w:rsidR="008A16FB" w:rsidRPr="008A16FB" w:rsidRDefault="008A16FB" w:rsidP="0043131B">
      <w:pPr>
        <w:pStyle w:val="SupplementNote"/>
        <w:rPr>
          <w:i/>
          <w:lang w:val="en-PH"/>
        </w:rPr>
      </w:pPr>
      <w:r w:rsidRPr="008A16FB">
        <w:rPr>
          <w:i/>
          <w:lang w:val="en-PH"/>
        </w:rPr>
        <w:drawing>
          <wp:inline distT="0" distB="0" distL="0" distR="0" wp14:anchorId="1FD5AEF1" wp14:editId="7DE96A42">
            <wp:extent cx="3459480" cy="2595563"/>
            <wp:effectExtent l="0" t="0" r="7620" b="0"/>
            <wp:docPr id="421282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807" cy="260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70B3E" w14:textId="0A21E12F" w:rsidR="00224D05" w:rsidRDefault="00150090">
      <w:r w:rsidRPr="00150090">
        <w:rPr>
          <w:i/>
          <w:sz w:val="18"/>
        </w:rPr>
        <w:t xml:space="preserve">Note. Unit operating-cost values correspond to the scenario totals reported in Section 4.2 of the main article: reference = 0.140, </w:t>
      </w:r>
      <w:proofErr w:type="gramStart"/>
      <w:r w:rsidRPr="00150090">
        <w:rPr>
          <w:i/>
          <w:sz w:val="18"/>
        </w:rPr>
        <w:t>best-case</w:t>
      </w:r>
      <w:proofErr w:type="gramEnd"/>
      <w:r w:rsidRPr="00150090">
        <w:rPr>
          <w:i/>
          <w:sz w:val="18"/>
        </w:rPr>
        <w:t xml:space="preserve"> = 0.118, and </w:t>
      </w:r>
      <w:proofErr w:type="gramStart"/>
      <w:r w:rsidRPr="00150090">
        <w:rPr>
          <w:i/>
          <w:sz w:val="18"/>
        </w:rPr>
        <w:t>worst-case</w:t>
      </w:r>
      <w:proofErr w:type="gramEnd"/>
      <w:r w:rsidRPr="00150090">
        <w:rPr>
          <w:i/>
          <w:sz w:val="18"/>
        </w:rPr>
        <w:t xml:space="preserve"> = 0.190 USD/RPK.</w:t>
      </w:r>
      <w:r w:rsidR="00792226">
        <w:br w:type="page"/>
      </w:r>
    </w:p>
    <w:p w14:paraId="5FC7102E" w14:textId="77777777" w:rsidR="00224D05" w:rsidRDefault="00792226">
      <w:pPr>
        <w:pStyle w:val="AppendixHeading"/>
      </w:pPr>
      <w:r>
        <w:lastRenderedPageBreak/>
        <w:t>Appendix K. Revenue-cost-margin comparison</w:t>
      </w:r>
    </w:p>
    <w:p w14:paraId="72C4B091" w14:textId="5522B0A9" w:rsidR="00224D05" w:rsidRDefault="00792226">
      <w:pPr>
        <w:pStyle w:val="SupplementCaption"/>
        <w:rPr>
          <w:b/>
          <w:i w:val="0"/>
        </w:rPr>
      </w:pPr>
      <w:r>
        <w:rPr>
          <w:b/>
          <w:i w:val="0"/>
        </w:rPr>
        <w:t xml:space="preserve">Figure A4. </w:t>
      </w:r>
      <w:r w:rsidR="00DE731C" w:rsidRPr="00DE731C">
        <w:rPr>
          <w:b/>
          <w:i w:val="0"/>
        </w:rPr>
        <w:t>Passenger-normalized unit revenue, unit operating cost, and operating margin by scenario</w:t>
      </w:r>
    </w:p>
    <w:p w14:paraId="0BFDCCA0" w14:textId="77777777" w:rsidR="0043131B" w:rsidRDefault="0043131B">
      <w:pPr>
        <w:pStyle w:val="SupplementCaption"/>
      </w:pPr>
    </w:p>
    <w:p w14:paraId="1092B31A" w14:textId="0A6B15B7" w:rsidR="0043131B" w:rsidRPr="0043131B" w:rsidRDefault="0043131B" w:rsidP="0043131B">
      <w:pPr>
        <w:rPr>
          <w:lang w:val="en-PH"/>
        </w:rPr>
      </w:pPr>
      <w:r w:rsidRPr="0043131B">
        <w:rPr>
          <w:lang w:val="en-PH"/>
        </w:rPr>
        <w:drawing>
          <wp:inline distT="0" distB="0" distL="0" distR="0" wp14:anchorId="0B95E584" wp14:editId="37903CF8">
            <wp:extent cx="4091940" cy="3070083"/>
            <wp:effectExtent l="19050" t="19050" r="22860" b="16510"/>
            <wp:docPr id="3393594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588" cy="307957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B68E2D" w14:textId="164006AD" w:rsidR="00224D05" w:rsidRDefault="00224D05">
      <w:pPr>
        <w:jc w:val="center"/>
      </w:pPr>
    </w:p>
    <w:p w14:paraId="3C795CF1" w14:textId="77777777" w:rsidR="00224D05" w:rsidRDefault="00792226">
      <w:pPr>
        <w:pStyle w:val="SupplementNote"/>
      </w:pPr>
      <w:r>
        <w:rPr>
          <w:i/>
        </w:rPr>
        <w:t xml:space="preserve">Note. </w:t>
      </w:r>
      <w:r>
        <w:t>Positive operating margins occur in the reference and best-case scenarios, whereas the worst-case scenario produces a negative margin.</w:t>
      </w:r>
    </w:p>
    <w:p w14:paraId="16EF687D" w14:textId="63E81183" w:rsidR="00224D05" w:rsidRDefault="00224D05"/>
    <w:p w14:paraId="79883C34" w14:textId="77777777" w:rsidR="00224D05" w:rsidRDefault="00792226">
      <w:pPr>
        <w:pStyle w:val="AppendixHeading"/>
      </w:pPr>
      <w:r>
        <w:lastRenderedPageBreak/>
        <w:t>Appendix L. Environmental-justice overlay</w:t>
      </w:r>
    </w:p>
    <w:p w14:paraId="7A7A8AF4" w14:textId="77777777" w:rsidR="00224D05" w:rsidRDefault="00792226">
      <w:pPr>
        <w:pStyle w:val="SupplementCaption"/>
      </w:pPr>
      <w:r>
        <w:rPr>
          <w:b/>
          <w:i w:val="0"/>
        </w:rPr>
        <w:t>Figure A5. Environmental-justice overlay: airport noise contours and supersonic boom corridor versus community vulnerability index.</w:t>
      </w:r>
    </w:p>
    <w:p w14:paraId="4A319A6B" w14:textId="77777777" w:rsidR="00224D05" w:rsidRDefault="00792226" w:rsidP="0043131B">
      <w:r>
        <w:rPr>
          <w:noProof/>
        </w:rPr>
        <w:drawing>
          <wp:inline distT="0" distB="0" distL="0" distR="0" wp14:anchorId="0D9F1E98" wp14:editId="4DBCED4A">
            <wp:extent cx="4145280" cy="2862763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A5_map_onl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4261" cy="286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C460" w14:textId="77777777" w:rsidR="00224D05" w:rsidRDefault="00792226">
      <w:pPr>
        <w:pStyle w:val="SupplementNote"/>
      </w:pPr>
      <w:r>
        <w:rPr>
          <w:i/>
        </w:rPr>
        <w:t xml:space="preserve">Note. </w:t>
      </w:r>
      <w:r>
        <w:t>Conceptual spatial overlay used to visualize how airport-noise contours and a modeled supersonic boom corridor may intersect with areas of differing community vulnerability. The figure supports spatial interpretation and does not by itself constitute a site-specific exposure inventory.</w:t>
      </w:r>
    </w:p>
    <w:sectPr w:rsidR="00224D05" w:rsidSect="00A873EB">
      <w:footerReference w:type="default" r:id="rId13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A0E52" w14:textId="77777777" w:rsidR="00FF6F29" w:rsidRDefault="00FF6F29">
      <w:pPr>
        <w:spacing w:after="0" w:line="240" w:lineRule="auto"/>
      </w:pPr>
      <w:r>
        <w:separator/>
      </w:r>
    </w:p>
  </w:endnote>
  <w:endnote w:type="continuationSeparator" w:id="0">
    <w:p w14:paraId="172309C0" w14:textId="77777777" w:rsidR="00FF6F29" w:rsidRDefault="00FF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8A1D" w14:textId="6BF2B7FC" w:rsidR="00224D05" w:rsidRDefault="00792226">
    <w:pPr>
      <w:pStyle w:val="Footer"/>
      <w:jc w:val="center"/>
    </w:pPr>
    <w:r>
      <w:rPr>
        <w:sz w:val="16"/>
      </w:rPr>
      <w:t xml:space="preserve">Supplementary Materials | Page </w:t>
    </w:r>
    <w:r>
      <w:fldChar w:fldCharType="begin"/>
    </w:r>
    <w:r>
      <w:instrText>PAGE</w:instrText>
    </w:r>
    <w:r>
      <w:fldChar w:fldCharType="separate"/>
    </w:r>
    <w:r w:rsidR="008E348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9296D" w14:textId="77777777" w:rsidR="00FF6F29" w:rsidRDefault="00FF6F29">
      <w:pPr>
        <w:spacing w:after="0" w:line="240" w:lineRule="auto"/>
      </w:pPr>
      <w:r>
        <w:separator/>
      </w:r>
    </w:p>
  </w:footnote>
  <w:footnote w:type="continuationSeparator" w:id="0">
    <w:p w14:paraId="6103EAC6" w14:textId="77777777" w:rsidR="00FF6F29" w:rsidRDefault="00FF6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614536">
    <w:abstractNumId w:val="8"/>
  </w:num>
  <w:num w:numId="2" w16cid:durableId="630524247">
    <w:abstractNumId w:val="6"/>
  </w:num>
  <w:num w:numId="3" w16cid:durableId="2037803363">
    <w:abstractNumId w:val="5"/>
  </w:num>
  <w:num w:numId="4" w16cid:durableId="266814735">
    <w:abstractNumId w:val="4"/>
  </w:num>
  <w:num w:numId="5" w16cid:durableId="1683586907">
    <w:abstractNumId w:val="7"/>
  </w:num>
  <w:num w:numId="6" w16cid:durableId="1436096988">
    <w:abstractNumId w:val="3"/>
  </w:num>
  <w:num w:numId="7" w16cid:durableId="891846377">
    <w:abstractNumId w:val="2"/>
  </w:num>
  <w:num w:numId="8" w16cid:durableId="845561445">
    <w:abstractNumId w:val="1"/>
  </w:num>
  <w:num w:numId="9" w16cid:durableId="80854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931"/>
    <w:rsid w:val="00034616"/>
    <w:rsid w:val="000443F0"/>
    <w:rsid w:val="0006063C"/>
    <w:rsid w:val="00150090"/>
    <w:rsid w:val="0015074B"/>
    <w:rsid w:val="00224D05"/>
    <w:rsid w:val="00231D73"/>
    <w:rsid w:val="00284742"/>
    <w:rsid w:val="0029639D"/>
    <w:rsid w:val="002F5C3F"/>
    <w:rsid w:val="00326F90"/>
    <w:rsid w:val="00361B34"/>
    <w:rsid w:val="00370B55"/>
    <w:rsid w:val="00412917"/>
    <w:rsid w:val="0043131B"/>
    <w:rsid w:val="00483F05"/>
    <w:rsid w:val="004B305C"/>
    <w:rsid w:val="004E11FC"/>
    <w:rsid w:val="00544993"/>
    <w:rsid w:val="006C533A"/>
    <w:rsid w:val="00792226"/>
    <w:rsid w:val="008A16FB"/>
    <w:rsid w:val="008B6729"/>
    <w:rsid w:val="008E3240"/>
    <w:rsid w:val="008E348D"/>
    <w:rsid w:val="008F4CB2"/>
    <w:rsid w:val="0093039E"/>
    <w:rsid w:val="00974E07"/>
    <w:rsid w:val="00A83148"/>
    <w:rsid w:val="00A873EB"/>
    <w:rsid w:val="00AA1D8D"/>
    <w:rsid w:val="00B3520B"/>
    <w:rsid w:val="00B47730"/>
    <w:rsid w:val="00C45400"/>
    <w:rsid w:val="00CA7F25"/>
    <w:rsid w:val="00CB0664"/>
    <w:rsid w:val="00D70DA2"/>
    <w:rsid w:val="00DE731C"/>
    <w:rsid w:val="00E80060"/>
    <w:rsid w:val="00EF27A6"/>
    <w:rsid w:val="00F02529"/>
    <w:rsid w:val="00FC693F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985D86"/>
  <w14:defaultImageDpi w14:val="300"/>
  <w15:docId w15:val="{83721A92-BC7D-4852-88F1-9313D29C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pendixHeading">
    <w:name w:val="Appendix Heading"/>
    <w:pPr>
      <w:keepNext/>
      <w:spacing w:before="80" w:after="120"/>
    </w:pPr>
    <w:rPr>
      <w:rFonts w:ascii="Times New Roman" w:eastAsia="Times New Roman" w:hAnsi="Times New Roman"/>
      <w:b/>
      <w:sz w:val="24"/>
    </w:rPr>
  </w:style>
  <w:style w:type="paragraph" w:customStyle="1" w:styleId="SupplementCaption">
    <w:name w:val="Supplement Caption"/>
    <w:pPr>
      <w:keepNext/>
      <w:spacing w:after="100"/>
    </w:pPr>
    <w:rPr>
      <w:rFonts w:ascii="Times New Roman" w:eastAsia="Times New Roman" w:hAnsi="Times New Roman"/>
      <w:i/>
      <w:sz w:val="19"/>
    </w:rPr>
  </w:style>
  <w:style w:type="paragraph" w:customStyle="1" w:styleId="SupplementNote">
    <w:name w:val="Supplement Note"/>
    <w:pPr>
      <w:spacing w:after="80"/>
    </w:pPr>
    <w:rPr>
      <w:rFonts w:ascii="Times New Roman" w:eastAsia="Times New Roman" w:hAnsi="Times New Roman"/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305C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305C"/>
    <w:rPr>
      <w:rFonts w:ascii="Times New Roman" w:eastAsia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30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2713</Words>
  <Characters>15470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Materials - Supersonic Sustainability Transitions</vt:lpstr>
    </vt:vector>
  </TitlesOfParts>
  <Manager/>
  <Company/>
  <LinksUpToDate>false</LinksUpToDate>
  <CharactersWithSpaces>18147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 - Supersonic Sustainability Transitions</dc:title>
  <dc:subject>Supplementary appendices, tables, and figures</dc:subject>
  <dc:creator>Arthur Dela Peña</dc:creator>
  <cp:keywords/>
  <dc:description>generated by python-docx</dc:description>
  <cp:lastModifiedBy>Arthur Dela Peña</cp:lastModifiedBy>
  <cp:revision>26</cp:revision>
  <dcterms:created xsi:type="dcterms:W3CDTF">2026-09-10T07:53:00Z</dcterms:created>
  <dcterms:modified xsi:type="dcterms:W3CDTF">2026-09-10T14:49:00Z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6959f878-e3ae-4929-b175-e1a9840bfeee</vt:lpwstr>
  </property>
</Properties>
</file>